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809CE">
        <w:trPr>
          <w:cantSplit/>
          <w:trHeight w:hRule="exact" w:val="1800"/>
          <w:jc w:val="right"/>
        </w:trPr>
        <w:tc>
          <w:tcPr>
            <w:tcW w:w="9000" w:type="dxa"/>
            <w:shd w:val="clear" w:color="auto" w:fill="8DC63F"/>
            <w:vAlign w:val="center"/>
          </w:tcPr>
          <w:p w14:paraId="0F55E73E" w14:textId="77777777" w:rsidR="00627298" w:rsidRPr="00B72342" w:rsidRDefault="00627298" w:rsidP="00627298">
            <w:pPr>
              <w:pStyle w:val="eTRMHeading1"/>
              <w:jc w:val="center"/>
              <w:rPr>
                <w:sz w:val="28"/>
              </w:rPr>
            </w:pPr>
            <w:r w:rsidRPr="00B72342">
              <w:rPr>
                <w:sz w:val="28"/>
              </w:rPr>
              <w:t>water heating</w:t>
            </w:r>
          </w:p>
          <w:p w14:paraId="401526A6" w14:textId="77777777" w:rsidR="00BD221D" w:rsidRPr="00B809CE" w:rsidRDefault="005474B0" w:rsidP="00B561EE">
            <w:pPr>
              <w:pStyle w:val="eTRMHeading2"/>
              <w:rPr>
                <w:color w:val="FFFFFF" w:themeColor="background1"/>
                <w:spacing w:val="60"/>
                <w:sz w:val="32"/>
                <w:szCs w:val="40"/>
              </w:rPr>
            </w:pPr>
            <w:r w:rsidRPr="00B809CE">
              <w:rPr>
                <w:color w:val="FFFFFF" w:themeColor="background1"/>
                <w:spacing w:val="60"/>
                <w:sz w:val="32"/>
                <w:szCs w:val="40"/>
              </w:rPr>
              <w:t>Central Boiler Dual Setpoint Temp. Controller</w:t>
            </w:r>
            <w:r w:rsidR="007614EB" w:rsidRPr="00B809CE">
              <w:rPr>
                <w:color w:val="FFFFFF" w:themeColor="background1"/>
                <w:spacing w:val="60"/>
                <w:sz w:val="32"/>
                <w:szCs w:val="40"/>
              </w:rPr>
              <w:t xml:space="preserve">, </w:t>
            </w:r>
            <w:r w:rsidRPr="00B809CE">
              <w:rPr>
                <w:color w:val="FFFFFF" w:themeColor="background1"/>
                <w:spacing w:val="60"/>
                <w:sz w:val="32"/>
                <w:szCs w:val="40"/>
              </w:rPr>
              <w:t>MultiFamily</w:t>
            </w:r>
          </w:p>
          <w:p w14:paraId="10BE1877" w14:textId="5D52238C" w:rsidR="00B809CE" w:rsidRPr="00B809CE" w:rsidRDefault="00B809CE" w:rsidP="00B561EE">
            <w:pPr>
              <w:pStyle w:val="eTRMHeading2"/>
              <w:rPr>
                <w:color w:val="FFFFFF" w:themeColor="background1"/>
                <w:spacing w:val="0"/>
                <w:sz w:val="28"/>
                <w:szCs w:val="36"/>
              </w:rPr>
            </w:pPr>
            <w:r w:rsidRPr="00B809CE">
              <w:rPr>
                <w:color w:val="FFFFFF" w:themeColor="background1"/>
                <w:spacing w:val="0"/>
                <w:sz w:val="28"/>
                <w:szCs w:val="36"/>
              </w:rPr>
              <w:t>SWWH024-0</w:t>
            </w:r>
            <w:r w:rsidR="006714EB">
              <w:rPr>
                <w:color w:val="FFFFFF" w:themeColor="background1"/>
                <w:spacing w:val="0"/>
                <w:sz w:val="28"/>
                <w:szCs w:val="36"/>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B4E1B56" w14:textId="2C7F75E3" w:rsidR="0065272C"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5272C">
        <w:rPr>
          <w:noProof/>
        </w:rPr>
        <w:t>Measure Name</w:t>
      </w:r>
      <w:r w:rsidR="0065272C">
        <w:rPr>
          <w:noProof/>
        </w:rPr>
        <w:tab/>
      </w:r>
      <w:r w:rsidR="0065272C">
        <w:rPr>
          <w:noProof/>
        </w:rPr>
        <w:fldChar w:fldCharType="begin"/>
      </w:r>
      <w:r w:rsidR="0065272C">
        <w:rPr>
          <w:noProof/>
        </w:rPr>
        <w:instrText xml:space="preserve"> PAGEREF _Toc11253766 \h </w:instrText>
      </w:r>
      <w:r w:rsidR="0065272C">
        <w:rPr>
          <w:noProof/>
        </w:rPr>
      </w:r>
      <w:r w:rsidR="0065272C">
        <w:rPr>
          <w:noProof/>
        </w:rPr>
        <w:fldChar w:fldCharType="separate"/>
      </w:r>
      <w:r w:rsidR="0065272C">
        <w:rPr>
          <w:noProof/>
        </w:rPr>
        <w:t>2</w:t>
      </w:r>
      <w:r w:rsidR="0065272C">
        <w:rPr>
          <w:noProof/>
        </w:rPr>
        <w:fldChar w:fldCharType="end"/>
      </w:r>
    </w:p>
    <w:p w14:paraId="4E7B5BFA" w14:textId="756FB5FC" w:rsidR="0065272C" w:rsidRDefault="0065272C">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_Toc11253767 \h </w:instrText>
      </w:r>
      <w:r>
        <w:rPr>
          <w:noProof/>
        </w:rPr>
      </w:r>
      <w:r>
        <w:rPr>
          <w:noProof/>
        </w:rPr>
        <w:fldChar w:fldCharType="separate"/>
      </w:r>
      <w:r>
        <w:rPr>
          <w:noProof/>
        </w:rPr>
        <w:t>2</w:t>
      </w:r>
      <w:r>
        <w:rPr>
          <w:noProof/>
        </w:rPr>
        <w:fldChar w:fldCharType="end"/>
      </w:r>
    </w:p>
    <w:p w14:paraId="6D846653" w14:textId="1433ECF1" w:rsidR="0065272C" w:rsidRDefault="0065272C">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_Toc11253768 \h </w:instrText>
      </w:r>
      <w:r>
        <w:rPr>
          <w:noProof/>
        </w:rPr>
      </w:r>
      <w:r>
        <w:rPr>
          <w:noProof/>
        </w:rPr>
        <w:fldChar w:fldCharType="separate"/>
      </w:r>
      <w:r>
        <w:rPr>
          <w:noProof/>
        </w:rPr>
        <w:t>2</w:t>
      </w:r>
      <w:r>
        <w:rPr>
          <w:noProof/>
        </w:rPr>
        <w:fldChar w:fldCharType="end"/>
      </w:r>
    </w:p>
    <w:p w14:paraId="0B567C8F" w14:textId="0A8E6FFA" w:rsidR="0065272C" w:rsidRDefault="0065272C">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_Toc11253769 \h </w:instrText>
      </w:r>
      <w:r>
        <w:rPr>
          <w:noProof/>
        </w:rPr>
      </w:r>
      <w:r>
        <w:rPr>
          <w:noProof/>
        </w:rPr>
        <w:fldChar w:fldCharType="separate"/>
      </w:r>
      <w:r>
        <w:rPr>
          <w:noProof/>
        </w:rPr>
        <w:t>4</w:t>
      </w:r>
      <w:r>
        <w:rPr>
          <w:noProof/>
        </w:rPr>
        <w:fldChar w:fldCharType="end"/>
      </w:r>
    </w:p>
    <w:p w14:paraId="0FF53DEA" w14:textId="20AF507A" w:rsidR="0065272C" w:rsidRDefault="0065272C">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_Toc11253770 \h </w:instrText>
      </w:r>
      <w:r>
        <w:rPr>
          <w:noProof/>
        </w:rPr>
      </w:r>
      <w:r>
        <w:rPr>
          <w:noProof/>
        </w:rPr>
        <w:fldChar w:fldCharType="separate"/>
      </w:r>
      <w:r>
        <w:rPr>
          <w:noProof/>
        </w:rPr>
        <w:t>5</w:t>
      </w:r>
      <w:r>
        <w:rPr>
          <w:noProof/>
        </w:rPr>
        <w:fldChar w:fldCharType="end"/>
      </w:r>
    </w:p>
    <w:p w14:paraId="4E54E3D1" w14:textId="06E6E9A1" w:rsidR="0065272C" w:rsidRDefault="0065272C">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_Toc11253771 \h </w:instrText>
      </w:r>
      <w:r>
        <w:rPr>
          <w:noProof/>
        </w:rPr>
      </w:r>
      <w:r>
        <w:rPr>
          <w:noProof/>
        </w:rPr>
        <w:fldChar w:fldCharType="separate"/>
      </w:r>
      <w:r>
        <w:rPr>
          <w:noProof/>
        </w:rPr>
        <w:t>5</w:t>
      </w:r>
      <w:r>
        <w:rPr>
          <w:noProof/>
        </w:rPr>
        <w:fldChar w:fldCharType="end"/>
      </w:r>
    </w:p>
    <w:p w14:paraId="29B4B067" w14:textId="7FCE61D5" w:rsidR="0065272C" w:rsidRDefault="0065272C">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_Toc11253772 \h </w:instrText>
      </w:r>
      <w:r>
        <w:rPr>
          <w:noProof/>
        </w:rPr>
      </w:r>
      <w:r>
        <w:rPr>
          <w:noProof/>
        </w:rPr>
        <w:fldChar w:fldCharType="separate"/>
      </w:r>
      <w:r>
        <w:rPr>
          <w:noProof/>
        </w:rPr>
        <w:t>5</w:t>
      </w:r>
      <w:r>
        <w:rPr>
          <w:noProof/>
        </w:rPr>
        <w:fldChar w:fldCharType="end"/>
      </w:r>
    </w:p>
    <w:p w14:paraId="13E03357" w14:textId="0DF155B5" w:rsidR="0065272C" w:rsidRDefault="0065272C">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_Toc11253773 \h </w:instrText>
      </w:r>
      <w:r>
        <w:rPr>
          <w:noProof/>
        </w:rPr>
      </w:r>
      <w:r>
        <w:rPr>
          <w:noProof/>
        </w:rPr>
        <w:fldChar w:fldCharType="separate"/>
      </w:r>
      <w:r>
        <w:rPr>
          <w:noProof/>
        </w:rPr>
        <w:t>5</w:t>
      </w:r>
      <w:r>
        <w:rPr>
          <w:noProof/>
        </w:rPr>
        <w:fldChar w:fldCharType="end"/>
      </w:r>
    </w:p>
    <w:p w14:paraId="1B1E54DE" w14:textId="7E5A30BD" w:rsidR="0065272C" w:rsidRDefault="0065272C">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_Toc11253774 \h </w:instrText>
      </w:r>
      <w:r>
        <w:rPr>
          <w:noProof/>
        </w:rPr>
      </w:r>
      <w:r>
        <w:rPr>
          <w:noProof/>
        </w:rPr>
        <w:fldChar w:fldCharType="separate"/>
      </w:r>
      <w:r>
        <w:rPr>
          <w:noProof/>
        </w:rPr>
        <w:t>6</w:t>
      </w:r>
      <w:r>
        <w:rPr>
          <w:noProof/>
        </w:rPr>
        <w:fldChar w:fldCharType="end"/>
      </w:r>
    </w:p>
    <w:p w14:paraId="75AA8E54" w14:textId="609A66C2" w:rsidR="0065272C" w:rsidRDefault="0065272C">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_Toc11253775 \h </w:instrText>
      </w:r>
      <w:r>
        <w:rPr>
          <w:noProof/>
        </w:rPr>
      </w:r>
      <w:r>
        <w:rPr>
          <w:noProof/>
        </w:rPr>
        <w:fldChar w:fldCharType="separate"/>
      </w:r>
      <w:r>
        <w:rPr>
          <w:noProof/>
        </w:rPr>
        <w:t>6</w:t>
      </w:r>
      <w:r>
        <w:rPr>
          <w:noProof/>
        </w:rPr>
        <w:fldChar w:fldCharType="end"/>
      </w:r>
    </w:p>
    <w:p w14:paraId="2B2329DF" w14:textId="1F33ADF1" w:rsidR="0065272C" w:rsidRDefault="0065272C">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_Toc11253776 \h </w:instrText>
      </w:r>
      <w:r>
        <w:rPr>
          <w:noProof/>
        </w:rPr>
      </w:r>
      <w:r>
        <w:rPr>
          <w:noProof/>
        </w:rPr>
        <w:fldChar w:fldCharType="separate"/>
      </w:r>
      <w:r>
        <w:rPr>
          <w:noProof/>
        </w:rPr>
        <w:t>7</w:t>
      </w:r>
      <w:r>
        <w:rPr>
          <w:noProof/>
        </w:rPr>
        <w:fldChar w:fldCharType="end"/>
      </w:r>
    </w:p>
    <w:p w14:paraId="7F0A2580" w14:textId="5250D6AF" w:rsidR="0065272C" w:rsidRDefault="0065272C">
      <w:pPr>
        <w:pStyle w:val="TOC3"/>
        <w:rPr>
          <w:rFonts w:asciiTheme="minorHAnsi" w:hAnsiTheme="minorHAnsi"/>
          <w:noProof/>
          <w:szCs w:val="22"/>
        </w:rPr>
      </w:pPr>
      <w:r>
        <w:rPr>
          <w:noProof/>
        </w:rPr>
        <w:t>Electric Savings (</w:t>
      </w:r>
      <w:r w:rsidRPr="00B515CD">
        <w:rPr>
          <w:noProof/>
        </w:rPr>
        <w:t>kWh</w:t>
      </w:r>
      <w:r>
        <w:rPr>
          <w:noProof/>
        </w:rPr>
        <w:t>)</w:t>
      </w:r>
      <w:r>
        <w:rPr>
          <w:noProof/>
        </w:rPr>
        <w:tab/>
      </w:r>
      <w:r>
        <w:rPr>
          <w:noProof/>
        </w:rPr>
        <w:fldChar w:fldCharType="begin"/>
      </w:r>
      <w:r>
        <w:rPr>
          <w:noProof/>
        </w:rPr>
        <w:instrText xml:space="preserve"> PAGEREF _Toc11253777 \h </w:instrText>
      </w:r>
      <w:r>
        <w:rPr>
          <w:noProof/>
        </w:rPr>
      </w:r>
      <w:r>
        <w:rPr>
          <w:noProof/>
        </w:rPr>
        <w:fldChar w:fldCharType="separate"/>
      </w:r>
      <w:r>
        <w:rPr>
          <w:noProof/>
        </w:rPr>
        <w:t>7</w:t>
      </w:r>
      <w:r>
        <w:rPr>
          <w:noProof/>
        </w:rPr>
        <w:fldChar w:fldCharType="end"/>
      </w:r>
    </w:p>
    <w:p w14:paraId="434DA95E" w14:textId="68FE1A89" w:rsidR="0065272C" w:rsidRDefault="0065272C">
      <w:pPr>
        <w:pStyle w:val="TOC3"/>
        <w:rPr>
          <w:rFonts w:asciiTheme="minorHAnsi" w:hAnsiTheme="minorHAnsi"/>
          <w:noProof/>
          <w:szCs w:val="22"/>
        </w:rPr>
      </w:pPr>
      <w:r>
        <w:rPr>
          <w:noProof/>
        </w:rPr>
        <w:t>Peak Electric Demand Reduction (</w:t>
      </w:r>
      <w:r w:rsidRPr="00B515CD">
        <w:rPr>
          <w:noProof/>
        </w:rPr>
        <w:t>kW</w:t>
      </w:r>
      <w:r>
        <w:rPr>
          <w:noProof/>
        </w:rPr>
        <w:t>)</w:t>
      </w:r>
      <w:r>
        <w:rPr>
          <w:noProof/>
        </w:rPr>
        <w:tab/>
      </w:r>
      <w:r>
        <w:rPr>
          <w:noProof/>
        </w:rPr>
        <w:fldChar w:fldCharType="begin"/>
      </w:r>
      <w:r>
        <w:rPr>
          <w:noProof/>
        </w:rPr>
        <w:instrText xml:space="preserve"> PAGEREF _Toc11253778 \h </w:instrText>
      </w:r>
      <w:r>
        <w:rPr>
          <w:noProof/>
        </w:rPr>
      </w:r>
      <w:r>
        <w:rPr>
          <w:noProof/>
        </w:rPr>
        <w:fldChar w:fldCharType="separate"/>
      </w:r>
      <w:r>
        <w:rPr>
          <w:noProof/>
        </w:rPr>
        <w:t>7</w:t>
      </w:r>
      <w:r>
        <w:rPr>
          <w:noProof/>
        </w:rPr>
        <w:fldChar w:fldCharType="end"/>
      </w:r>
    </w:p>
    <w:p w14:paraId="15675D62" w14:textId="37E2E315" w:rsidR="0065272C" w:rsidRDefault="0065272C">
      <w:pPr>
        <w:pStyle w:val="TOC3"/>
        <w:rPr>
          <w:rFonts w:asciiTheme="minorHAnsi" w:hAnsiTheme="minorHAnsi"/>
          <w:noProof/>
          <w:szCs w:val="22"/>
        </w:rPr>
      </w:pPr>
      <w:r>
        <w:rPr>
          <w:noProof/>
        </w:rPr>
        <w:t>Gas Savings (</w:t>
      </w:r>
      <w:r w:rsidRPr="00B515CD">
        <w:rPr>
          <w:noProof/>
        </w:rPr>
        <w:t>Therms</w:t>
      </w:r>
      <w:r>
        <w:rPr>
          <w:noProof/>
        </w:rPr>
        <w:t>)</w:t>
      </w:r>
      <w:r>
        <w:rPr>
          <w:noProof/>
        </w:rPr>
        <w:tab/>
      </w:r>
      <w:r>
        <w:rPr>
          <w:noProof/>
        </w:rPr>
        <w:fldChar w:fldCharType="begin"/>
      </w:r>
      <w:r>
        <w:rPr>
          <w:noProof/>
        </w:rPr>
        <w:instrText xml:space="preserve"> PAGEREF _Toc11253779 \h </w:instrText>
      </w:r>
      <w:r>
        <w:rPr>
          <w:noProof/>
        </w:rPr>
      </w:r>
      <w:r>
        <w:rPr>
          <w:noProof/>
        </w:rPr>
        <w:fldChar w:fldCharType="separate"/>
      </w:r>
      <w:r>
        <w:rPr>
          <w:noProof/>
        </w:rPr>
        <w:t>7</w:t>
      </w:r>
      <w:r>
        <w:rPr>
          <w:noProof/>
        </w:rPr>
        <w:fldChar w:fldCharType="end"/>
      </w:r>
    </w:p>
    <w:p w14:paraId="39763119" w14:textId="52EFBA85" w:rsidR="0065272C" w:rsidRDefault="0065272C">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_Toc11253780 \h </w:instrText>
      </w:r>
      <w:r>
        <w:rPr>
          <w:noProof/>
        </w:rPr>
      </w:r>
      <w:r>
        <w:rPr>
          <w:noProof/>
        </w:rPr>
        <w:fldChar w:fldCharType="separate"/>
      </w:r>
      <w:r>
        <w:rPr>
          <w:noProof/>
        </w:rPr>
        <w:t>14</w:t>
      </w:r>
      <w:r>
        <w:rPr>
          <w:noProof/>
        </w:rPr>
        <w:fldChar w:fldCharType="end"/>
      </w:r>
    </w:p>
    <w:p w14:paraId="06466447" w14:textId="08DFD058" w:rsidR="0065272C" w:rsidRDefault="0065272C">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_Toc11253781 \h </w:instrText>
      </w:r>
      <w:r>
        <w:rPr>
          <w:noProof/>
        </w:rPr>
      </w:r>
      <w:r>
        <w:rPr>
          <w:noProof/>
        </w:rPr>
        <w:fldChar w:fldCharType="separate"/>
      </w:r>
      <w:r>
        <w:rPr>
          <w:noProof/>
        </w:rPr>
        <w:t>15</w:t>
      </w:r>
      <w:r>
        <w:rPr>
          <w:noProof/>
        </w:rPr>
        <w:fldChar w:fldCharType="end"/>
      </w:r>
    </w:p>
    <w:p w14:paraId="5581A340" w14:textId="3EABC0A5" w:rsidR="0065272C" w:rsidRDefault="0065272C">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_Toc11253782 \h </w:instrText>
      </w:r>
      <w:r>
        <w:rPr>
          <w:noProof/>
        </w:rPr>
      </w:r>
      <w:r>
        <w:rPr>
          <w:noProof/>
        </w:rPr>
        <w:fldChar w:fldCharType="separate"/>
      </w:r>
      <w:r>
        <w:rPr>
          <w:noProof/>
        </w:rPr>
        <w:t>15</w:t>
      </w:r>
      <w:r>
        <w:rPr>
          <w:noProof/>
        </w:rPr>
        <w:fldChar w:fldCharType="end"/>
      </w:r>
    </w:p>
    <w:p w14:paraId="6960B593" w14:textId="268DA22F" w:rsidR="0065272C" w:rsidRDefault="0065272C">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_Toc11253783 \h </w:instrText>
      </w:r>
      <w:r>
        <w:rPr>
          <w:noProof/>
        </w:rPr>
      </w:r>
      <w:r>
        <w:rPr>
          <w:noProof/>
        </w:rPr>
        <w:fldChar w:fldCharType="separate"/>
      </w:r>
      <w:r>
        <w:rPr>
          <w:noProof/>
        </w:rPr>
        <w:t>15</w:t>
      </w:r>
      <w:r>
        <w:rPr>
          <w:noProof/>
        </w:rPr>
        <w:fldChar w:fldCharType="end"/>
      </w:r>
    </w:p>
    <w:p w14:paraId="3E22B4C0" w14:textId="0D4519F2" w:rsidR="0065272C" w:rsidRDefault="0065272C">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_Toc11253784 \h </w:instrText>
      </w:r>
      <w:r>
        <w:rPr>
          <w:noProof/>
        </w:rPr>
      </w:r>
      <w:r>
        <w:rPr>
          <w:noProof/>
        </w:rPr>
        <w:fldChar w:fldCharType="separate"/>
      </w:r>
      <w:r>
        <w:rPr>
          <w:noProof/>
        </w:rPr>
        <w:t>16</w:t>
      </w:r>
      <w:r>
        <w:rPr>
          <w:noProof/>
        </w:rPr>
        <w:fldChar w:fldCharType="end"/>
      </w:r>
    </w:p>
    <w:p w14:paraId="547CF640" w14:textId="186C6127" w:rsidR="0065272C" w:rsidRDefault="0065272C">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_Toc11253785 \h </w:instrText>
      </w:r>
      <w:r>
        <w:rPr>
          <w:noProof/>
        </w:rPr>
      </w:r>
      <w:r>
        <w:rPr>
          <w:noProof/>
        </w:rPr>
        <w:fldChar w:fldCharType="separate"/>
      </w:r>
      <w:r>
        <w:rPr>
          <w:noProof/>
        </w:rPr>
        <w:t>16</w:t>
      </w:r>
      <w:r>
        <w:rPr>
          <w:noProof/>
        </w:rPr>
        <w:fldChar w:fldCharType="end"/>
      </w:r>
    </w:p>
    <w:p w14:paraId="58FFE08C" w14:textId="56449721" w:rsidR="0065272C" w:rsidRDefault="0065272C">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_Toc11253786 \h </w:instrText>
      </w:r>
      <w:r>
        <w:rPr>
          <w:noProof/>
        </w:rPr>
      </w:r>
      <w:r>
        <w:rPr>
          <w:noProof/>
        </w:rPr>
        <w:fldChar w:fldCharType="separate"/>
      </w:r>
      <w:r>
        <w:rPr>
          <w:noProof/>
        </w:rPr>
        <w:t>16</w:t>
      </w:r>
      <w:r>
        <w:rPr>
          <w:noProof/>
        </w:rPr>
        <w:fldChar w:fldCharType="end"/>
      </w:r>
    </w:p>
    <w:p w14:paraId="6B5638E4" w14:textId="22035ECC" w:rsidR="0065272C" w:rsidRDefault="0065272C">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_Toc11253787 \h </w:instrText>
      </w:r>
      <w:r>
        <w:rPr>
          <w:noProof/>
        </w:rPr>
      </w:r>
      <w:r>
        <w:rPr>
          <w:noProof/>
        </w:rPr>
        <w:fldChar w:fldCharType="separate"/>
      </w:r>
      <w:r>
        <w:rPr>
          <w:noProof/>
        </w:rPr>
        <w:t>17</w:t>
      </w:r>
      <w:r>
        <w:rPr>
          <w:noProof/>
        </w:rPr>
        <w:fldChar w:fldCharType="end"/>
      </w:r>
    </w:p>
    <w:p w14:paraId="65D18174" w14:textId="53070606" w:rsidR="0065272C" w:rsidRDefault="0065272C">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_Toc11253788 \h </w:instrText>
      </w:r>
      <w:r>
        <w:rPr>
          <w:noProof/>
        </w:rPr>
      </w:r>
      <w:r>
        <w:rPr>
          <w:noProof/>
        </w:rPr>
        <w:fldChar w:fldCharType="separate"/>
      </w:r>
      <w:r>
        <w:rPr>
          <w:noProof/>
        </w:rPr>
        <w:t>17</w:t>
      </w:r>
      <w:r>
        <w:rPr>
          <w:noProof/>
        </w:rPr>
        <w:fldChar w:fldCharType="end"/>
      </w:r>
    </w:p>
    <w:p w14:paraId="31603E72" w14:textId="5837FE10" w:rsidR="0065272C" w:rsidRDefault="0065272C">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_Toc11253789 \h </w:instrText>
      </w:r>
      <w:r>
        <w:rPr>
          <w:noProof/>
        </w:rPr>
      </w:r>
      <w:r>
        <w:rPr>
          <w:noProof/>
        </w:rPr>
        <w:fldChar w:fldCharType="separate"/>
      </w:r>
      <w:r>
        <w:rPr>
          <w:noProof/>
        </w:rPr>
        <w:t>17</w:t>
      </w:r>
      <w:r>
        <w:rPr>
          <w:noProof/>
        </w:rPr>
        <w:fldChar w:fldCharType="end"/>
      </w:r>
    </w:p>
    <w:p w14:paraId="4C194BAF" w14:textId="4B4AAFFB"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58C5B205" w14:textId="6D20E7E8" w:rsidR="00887FDA" w:rsidRDefault="00887FDA"/>
    <w:p w14:paraId="39F3CABB" w14:textId="77777777" w:rsidR="00871123" w:rsidRPr="007E1F66" w:rsidRDefault="00871123" w:rsidP="00462BB6">
      <w:pPr>
        <w:pStyle w:val="eTRMHeading3"/>
        <w:spacing w:before="20" w:after="20"/>
      </w:pPr>
      <w:bookmarkStart w:id="0" w:name="_Toc486490839"/>
      <w:bookmarkStart w:id="1" w:name="_Toc486580912"/>
      <w:bookmarkStart w:id="2" w:name="_Toc11253766"/>
      <w:r w:rsidRPr="007E1F66">
        <w:t>Measure Name</w:t>
      </w:r>
      <w:bookmarkEnd w:id="0"/>
      <w:bookmarkEnd w:id="1"/>
      <w:bookmarkEnd w:id="2"/>
    </w:p>
    <w:p w14:paraId="3B952704" w14:textId="074FC9A6" w:rsidR="00871123" w:rsidRDefault="005474B0" w:rsidP="00462BB6">
      <w:pPr>
        <w:spacing w:before="20" w:after="20" w:line="280" w:lineRule="exact"/>
      </w:pPr>
      <w:r w:rsidRPr="005474B0">
        <w:t>Central Boiler Dual Setpoint Temp</w:t>
      </w:r>
      <w:r w:rsidR="00B809CE">
        <w:t>erature</w:t>
      </w:r>
      <w:r w:rsidRPr="005474B0">
        <w:t xml:space="preserve"> Controller</w:t>
      </w:r>
      <w:r w:rsidR="007614EB">
        <w:t xml:space="preserve">, </w:t>
      </w:r>
      <w:r w:rsidRPr="005474B0">
        <w:t>Multi</w:t>
      </w:r>
      <w:r w:rsidR="00B809CE">
        <w:t>f</w:t>
      </w:r>
      <w:r w:rsidRPr="005474B0">
        <w:t>amily</w:t>
      </w:r>
    </w:p>
    <w:p w14:paraId="4EAED972" w14:textId="77777777" w:rsidR="00871123" w:rsidRPr="00401C43" w:rsidRDefault="00871123" w:rsidP="00462BB6">
      <w:pPr>
        <w:spacing w:before="20" w:after="20" w:line="280" w:lineRule="exact"/>
      </w:pPr>
    </w:p>
    <w:p w14:paraId="6406A9D4" w14:textId="77777777" w:rsidR="00871123" w:rsidRPr="00074E3E" w:rsidRDefault="00871123" w:rsidP="00462BB6">
      <w:pPr>
        <w:pStyle w:val="eTRMHeading3"/>
        <w:spacing w:before="20" w:after="20"/>
      </w:pPr>
      <w:bookmarkStart w:id="3" w:name="_Toc486490840"/>
      <w:bookmarkStart w:id="4" w:name="_Toc486580913"/>
      <w:bookmarkStart w:id="5" w:name="_Toc11253767"/>
      <w:r>
        <w:t>Statewide Measure ID</w:t>
      </w:r>
      <w:bookmarkEnd w:id="3"/>
      <w:bookmarkEnd w:id="4"/>
      <w:bookmarkEnd w:id="5"/>
    </w:p>
    <w:p w14:paraId="6EAE2100" w14:textId="09918CF2" w:rsidR="00871123" w:rsidRDefault="00B96E30" w:rsidP="00B96E30">
      <w:r>
        <w:t>SW</w:t>
      </w:r>
      <w:r w:rsidR="00576D26">
        <w:t>WH</w:t>
      </w:r>
      <w:r>
        <w:t>0</w:t>
      </w:r>
      <w:r w:rsidR="00576D26">
        <w:t>24</w:t>
      </w:r>
      <w:r>
        <w:t>-0</w:t>
      </w:r>
      <w:r w:rsidR="00F80FD8">
        <w:t>2</w:t>
      </w:r>
    </w:p>
    <w:p w14:paraId="2B553EA2" w14:textId="77777777" w:rsidR="00871123" w:rsidRPr="00462BB6" w:rsidRDefault="00871123" w:rsidP="00B96E30"/>
    <w:p w14:paraId="1143725C" w14:textId="43F12523" w:rsidR="00A242B0" w:rsidRPr="00154391" w:rsidRDefault="00E70CBD" w:rsidP="00462BB6">
      <w:pPr>
        <w:pStyle w:val="eTRMHeading3"/>
      </w:pPr>
      <w:bookmarkStart w:id="6" w:name="_Toc486490847"/>
      <w:bookmarkStart w:id="7" w:name="_Toc486580918"/>
      <w:bookmarkStart w:id="8" w:name="_Toc11253768"/>
      <w:r w:rsidRPr="00154391">
        <w:t>Technology Summary</w:t>
      </w:r>
      <w:bookmarkEnd w:id="6"/>
      <w:bookmarkEnd w:id="7"/>
      <w:bookmarkEnd w:id="8"/>
      <w:r w:rsidRPr="00154391">
        <w:t xml:space="preserve"> </w:t>
      </w:r>
    </w:p>
    <w:p w14:paraId="3F83552A" w14:textId="0121A289" w:rsidR="00E11A66" w:rsidRDefault="005474B0" w:rsidP="005474B0">
      <w:r>
        <w:t xml:space="preserve">This energy efficiency measure is based on the addition of an advanced electronic controller to a central </w:t>
      </w:r>
      <w:r w:rsidR="00B809CE">
        <w:t>hot water</w:t>
      </w:r>
      <w:r>
        <w:t xml:space="preserve"> boiler in </w:t>
      </w:r>
      <w:r w:rsidR="00B809CE">
        <w:t>a multifamily</w:t>
      </w:r>
      <w:r>
        <w:t xml:space="preserve"> residential building. Better insulation and tighter envelopes </w:t>
      </w:r>
      <w:r w:rsidR="00B809CE">
        <w:t>reduce</w:t>
      </w:r>
      <w:r>
        <w:t xml:space="preserve"> space </w:t>
      </w:r>
      <w:r w:rsidR="00B809CE">
        <w:t xml:space="preserve">the </w:t>
      </w:r>
      <w:r>
        <w:t xml:space="preserve">heating load for </w:t>
      </w:r>
      <w:r w:rsidR="00B809CE">
        <w:t xml:space="preserve">both </w:t>
      </w:r>
      <w:r>
        <w:t xml:space="preserve">new and existing </w:t>
      </w:r>
      <w:r w:rsidR="00B809CE">
        <w:t>multifamily</w:t>
      </w:r>
      <w:r>
        <w:t xml:space="preserve"> homes. As a result, </w:t>
      </w:r>
      <w:r w:rsidR="00B809CE">
        <w:t xml:space="preserve">the </w:t>
      </w:r>
      <w:r>
        <w:t>decreased space heating load make it possible</w:t>
      </w:r>
      <w:r w:rsidR="00E11A66">
        <w:t xml:space="preserve"> </w:t>
      </w:r>
      <w:r>
        <w:t xml:space="preserve">for both space and domestic water heating loads to be provided with a single heating plant, thus saving significant amounts of energy. </w:t>
      </w:r>
    </w:p>
    <w:p w14:paraId="4F3382DF" w14:textId="50E76212" w:rsidR="00C7646E" w:rsidRPr="00A242B0" w:rsidRDefault="00B809CE" w:rsidP="005474B0">
      <w:pPr>
        <w:rPr>
          <w:color w:val="C00000"/>
        </w:rPr>
      </w:pPr>
      <w:r>
        <w:t xml:space="preserve">A </w:t>
      </w:r>
      <w:r w:rsidR="005474B0">
        <w:t>combined space heating and domestic hot water</w:t>
      </w:r>
      <w:r>
        <w:t xml:space="preserve"> system</w:t>
      </w:r>
      <w:r w:rsidR="005474B0">
        <w:t xml:space="preserve"> during warmer weather allow</w:t>
      </w:r>
      <w:r>
        <w:t>s</w:t>
      </w:r>
      <w:r w:rsidR="005474B0">
        <w:t xml:space="preserve"> the temperature of hot water delivered to the dwelling units to be turned down from 135</w:t>
      </w:r>
      <w:r>
        <w:t xml:space="preserve"> </w:t>
      </w:r>
      <w:r w:rsidR="005474B0">
        <w:t>°</w:t>
      </w:r>
      <w:r>
        <w:t xml:space="preserve">F to </w:t>
      </w:r>
      <w:r w:rsidR="005474B0">
        <w:t>140</w:t>
      </w:r>
      <w:r>
        <w:t xml:space="preserve"> </w:t>
      </w:r>
      <w:r w:rsidR="005474B0">
        <w:t>°F to about 120</w:t>
      </w:r>
      <w:r>
        <w:t xml:space="preserve"> </w:t>
      </w:r>
      <w:r w:rsidR="005474B0">
        <w:t xml:space="preserve">°F. </w:t>
      </w:r>
      <w:r>
        <w:t xml:space="preserve"> (See figure below) T</w:t>
      </w:r>
      <w:r w:rsidR="005474B0">
        <w:t>his reduction in</w:t>
      </w:r>
      <w:r>
        <w:t xml:space="preserve"> the</w:t>
      </w:r>
      <w:r w:rsidR="005474B0">
        <w:t xml:space="preserve"> temperature setpoint allows the system to operate at lower heating capacity and reduces pipe heat loss in the distribution system, thereby saving energy. Furthermore, the advanced controller monitors return water temperature to further reduce supply water setpoint during periods of warmer weather and/or low building heating demand. Another feature is burner staging optimization to prevent temperature setpoint overshooting or short cycling.</w:t>
      </w:r>
    </w:p>
    <w:p w14:paraId="38A2211F" w14:textId="77777777" w:rsidR="005474B0" w:rsidRDefault="005474B0" w:rsidP="005474B0">
      <w:pPr>
        <w:pStyle w:val="Reminders"/>
        <w:tabs>
          <w:tab w:val="num" w:pos="360"/>
        </w:tabs>
        <w:jc w:val="center"/>
        <w:rPr>
          <w:rFonts w:asciiTheme="minorHAnsi" w:hAnsiTheme="minorHAnsi" w:cstheme="minorHAnsi"/>
          <w:i w:val="0"/>
          <w:color w:val="auto"/>
          <w:sz w:val="24"/>
        </w:rPr>
      </w:pPr>
      <w:r>
        <w:rPr>
          <w:rFonts w:asciiTheme="minorHAnsi" w:hAnsiTheme="minorHAnsi" w:cstheme="minorHAnsi"/>
          <w:i w:val="0"/>
          <w:noProof/>
          <w:color w:val="auto"/>
          <w:sz w:val="24"/>
        </w:rPr>
        <w:drawing>
          <wp:inline distT="0" distB="0" distL="0" distR="0" wp14:anchorId="4F9E9DC2" wp14:editId="7F823DA6">
            <wp:extent cx="5612748" cy="3103202"/>
            <wp:effectExtent l="0" t="0" r="7620" b="2540"/>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F084EA.tmp"/>
                    <pic:cNvPicPr/>
                  </pic:nvPicPr>
                  <pic:blipFill>
                    <a:blip r:embed="rId14">
                      <a:extLst>
                        <a:ext uri="{28A0092B-C50C-407E-A947-70E740481C1C}">
                          <a14:useLocalDpi xmlns:a14="http://schemas.microsoft.com/office/drawing/2010/main" val="0"/>
                        </a:ext>
                      </a:extLst>
                    </a:blip>
                    <a:stretch>
                      <a:fillRect/>
                    </a:stretch>
                  </pic:blipFill>
                  <pic:spPr>
                    <a:xfrm>
                      <a:off x="0" y="0"/>
                      <a:ext cx="5641389" cy="3119037"/>
                    </a:xfrm>
                    <a:prstGeom prst="rect">
                      <a:avLst/>
                    </a:prstGeom>
                  </pic:spPr>
                </pic:pic>
              </a:graphicData>
            </a:graphic>
          </wp:inline>
        </w:drawing>
      </w:r>
    </w:p>
    <w:p w14:paraId="3EDD6CAA" w14:textId="7485BA7E" w:rsidR="005474B0" w:rsidRPr="00507A0D" w:rsidRDefault="005474B0" w:rsidP="00B809CE">
      <w:pPr>
        <w:pStyle w:val="Caption"/>
        <w:rPr>
          <w:i/>
        </w:rPr>
      </w:pPr>
      <w:bookmarkStart w:id="9" w:name="_Toc514140444"/>
      <w:r w:rsidRPr="00507A0D">
        <w:t>Dual Setpoint Controller for Shared Combination Service Systems</w:t>
      </w:r>
      <w:bookmarkEnd w:id="9"/>
    </w:p>
    <w:p w14:paraId="7147018A" w14:textId="3E7C468E" w:rsidR="00C7646E" w:rsidRDefault="00C7646E" w:rsidP="00AB6C99"/>
    <w:p w14:paraId="0D687FC7" w14:textId="03DDB7B2" w:rsidR="00B809CE" w:rsidRDefault="00B809CE" w:rsidP="00B809CE">
      <w:r>
        <w:t xml:space="preserve">According to the </w:t>
      </w:r>
      <w:r w:rsidR="009B6D54">
        <w:t>Gas Technology Institute</w:t>
      </w:r>
      <w:r>
        <w:t>, “</w:t>
      </w:r>
      <w:r w:rsidR="009B6D54">
        <w:t>[c]</w:t>
      </w:r>
      <w:r>
        <w:t xml:space="preserve">ombined hydronic systems present an attractive option for high efficiency homes because these systems utilize one heat source that provides both space heating </w:t>
      </w:r>
      <w:r>
        <w:lastRenderedPageBreak/>
        <w:t>and domestic hot water.”</w:t>
      </w:r>
      <w:r w:rsidR="009B6D54" w:rsidRPr="009B6D54">
        <w:rPr>
          <w:rStyle w:val="FootnoteReference"/>
        </w:rPr>
        <w:t xml:space="preserve"> </w:t>
      </w:r>
      <w:r w:rsidR="009B6D54">
        <w:rPr>
          <w:rStyle w:val="FootnoteReference"/>
        </w:rPr>
        <w:footnoteReference w:id="1"/>
      </w:r>
      <w:r>
        <w:t xml:space="preserve"> In other words, implementing energy savings measures in such combined systems provides good value since the two largest gas end uses are addressed at one location.</w:t>
      </w:r>
    </w:p>
    <w:p w14:paraId="7CFAAE29" w14:textId="77777777" w:rsidR="00B809CE" w:rsidRDefault="00B809CE" w:rsidP="00B809CE">
      <w:r>
        <w:t>Like other Space Heating systems including boilers and furnaces, combi system efficiencies may be negatively impacted by low Space Heating load in warmer weather climate applications and during shoulder months of the heating season. Cycling losses associated with turndown and standby losses become a higher factor into overall efficiencies. Therefore, Combi system performance would benefit from control strategies that account for low Space Heating loads relative to burner capacities.</w:t>
      </w:r>
    </w:p>
    <w:p w14:paraId="40AB79B2" w14:textId="4103F6B3" w:rsidR="00B809CE" w:rsidRDefault="00394F3B" w:rsidP="00AB6C99">
      <w:r>
        <w:t>Two studies pertaining to this measure are summarized below.</w:t>
      </w:r>
    </w:p>
    <w:p w14:paraId="2A382BA7" w14:textId="3008FECD" w:rsidR="00394F3B" w:rsidRPr="00394F3B" w:rsidRDefault="00394F3B" w:rsidP="00394F3B">
      <w:pPr>
        <w:rPr>
          <w:rFonts w:eastAsiaTheme="minorHAnsi" w:cs="Calibri Light"/>
          <w:szCs w:val="22"/>
        </w:rPr>
      </w:pPr>
      <w:bookmarkStart w:id="10" w:name="_Toc521066896"/>
      <w:r w:rsidRPr="00394F3B">
        <w:rPr>
          <w:rFonts w:cs="Calibri Light"/>
          <w:b/>
          <w:bCs/>
        </w:rPr>
        <w:t>Combination Boiler Reset Controller Field Evaluation</w:t>
      </w:r>
      <w:bookmarkEnd w:id="10"/>
      <w:r w:rsidRPr="00394F3B">
        <w:rPr>
          <w:rFonts w:cs="Calibri Light"/>
          <w:b/>
          <w:bCs/>
        </w:rPr>
        <w:t xml:space="preserve"> (</w:t>
      </w:r>
      <w:r w:rsidRPr="00394F3B">
        <w:rPr>
          <w:rFonts w:cs="Calibri Light"/>
          <w:b/>
          <w:bCs/>
          <w:szCs w:val="22"/>
        </w:rPr>
        <w:t xml:space="preserve">NegaWatt Consulting, Inc., </w:t>
      </w:r>
      <w:bookmarkStart w:id="11" w:name="_Hlk508094896"/>
      <w:r w:rsidRPr="00394F3B">
        <w:rPr>
          <w:rFonts w:cs="Calibri Light"/>
          <w:b/>
          <w:bCs/>
          <w:szCs w:val="22"/>
        </w:rPr>
        <w:t>July 2015</w:t>
      </w:r>
      <w:bookmarkEnd w:id="11"/>
      <w:r w:rsidRPr="00394F3B">
        <w:rPr>
          <w:rFonts w:cs="Calibri Light"/>
          <w:b/>
          <w:bCs/>
          <w:szCs w:val="22"/>
        </w:rPr>
        <w:t>).</w:t>
      </w:r>
      <w:r w:rsidRPr="00394F3B">
        <w:rPr>
          <w:rStyle w:val="FootnoteReference"/>
          <w:rFonts w:cs="Calibri Light"/>
          <w:szCs w:val="22"/>
        </w:rPr>
        <w:footnoteReference w:id="2"/>
      </w:r>
      <w:r w:rsidRPr="00394F3B">
        <w:rPr>
          <w:rFonts w:cs="Calibri Light"/>
          <w:szCs w:val="22"/>
        </w:rPr>
        <w:t xml:space="preserve"> </w:t>
      </w:r>
      <w:r w:rsidRPr="00394F3B">
        <w:rPr>
          <w:rFonts w:eastAsiaTheme="minorHAnsi" w:cs="Calibri Light"/>
          <w:szCs w:val="22"/>
        </w:rPr>
        <w:t>The objective of this study was to evaluate the energy and cost savings of five retrofit boiler controllers that save energy by providing more sophisticated control than constant storage tank water setpoint with an aquastat. The tested controllers either provide outside air reset, dynamically modify setpoint dead band by delaying burner firing, or measure proxy demand data to determine periods of low demand when a lower setpoint is acceptable.</w:t>
      </w:r>
    </w:p>
    <w:p w14:paraId="44B46CAE" w14:textId="0F2A52CA" w:rsidR="00394F3B" w:rsidRPr="00394F3B" w:rsidRDefault="00394F3B" w:rsidP="00394F3B">
      <w:pPr>
        <w:rPr>
          <w:rFonts w:eastAsiaTheme="minorHAnsi" w:cs="Calibri Light"/>
          <w:szCs w:val="22"/>
        </w:rPr>
      </w:pPr>
      <w:r w:rsidRPr="00394F3B">
        <w:rPr>
          <w:rFonts w:eastAsiaTheme="minorHAnsi" w:cs="Calibri Light"/>
          <w:szCs w:val="22"/>
        </w:rPr>
        <w:t>The controllers were tested on integrated combination boilers i.e. “Raydronics” systems that provide both domestic hot water and heating hot water for fan coils in a single loop to multiple residencies in a multifamily residence (MFR) complex.</w:t>
      </w:r>
      <w:r w:rsidRPr="00394F3B">
        <w:rPr>
          <w:rFonts w:cs="Calibri Light"/>
        </w:rPr>
        <w:t xml:space="preserve"> </w:t>
      </w:r>
      <w:r w:rsidRPr="00394F3B">
        <w:rPr>
          <w:rFonts w:eastAsiaTheme="minorHAnsi" w:cs="Calibri Light"/>
          <w:szCs w:val="22"/>
        </w:rPr>
        <w:t>The baseline for each controller will be its respective boiler with the controller disabled and with the tank supply water temperature set to a constant setpoint.</w:t>
      </w:r>
    </w:p>
    <w:p w14:paraId="1855A268" w14:textId="75D889C5" w:rsidR="00394F3B" w:rsidRPr="00394F3B" w:rsidRDefault="00394F3B" w:rsidP="00394F3B">
      <w:pPr>
        <w:rPr>
          <w:rFonts w:eastAsiaTheme="minorHAnsi" w:cs="Calibri Light"/>
          <w:color w:val="000000"/>
          <w:szCs w:val="22"/>
        </w:rPr>
      </w:pPr>
      <w:bookmarkStart w:id="12" w:name="_Toc521066897"/>
      <w:r w:rsidRPr="00394F3B">
        <w:rPr>
          <w:rFonts w:cs="Calibri Light"/>
          <w:b/>
          <w:bCs/>
        </w:rPr>
        <w:t>A Dual Setpoint Controller for Combination Service Boilers (</w:t>
      </w:r>
      <w:bookmarkEnd w:id="12"/>
      <w:r w:rsidRPr="00394F3B">
        <w:rPr>
          <w:rFonts w:cs="Calibri Light"/>
          <w:b/>
          <w:bCs/>
          <w:szCs w:val="22"/>
        </w:rPr>
        <w:t>Information and energy Services, Inc. IES</w:t>
      </w:r>
      <w:r>
        <w:rPr>
          <w:rFonts w:cs="Calibri Light"/>
          <w:b/>
          <w:bCs/>
          <w:szCs w:val="22"/>
        </w:rPr>
        <w:t xml:space="preserve">, </w:t>
      </w:r>
      <w:r w:rsidRPr="00394F3B">
        <w:rPr>
          <w:rFonts w:cs="Calibri Light"/>
          <w:b/>
          <w:bCs/>
          <w:szCs w:val="22"/>
        </w:rPr>
        <w:t>2011</w:t>
      </w:r>
      <w:r>
        <w:rPr>
          <w:rFonts w:cs="Calibri Light"/>
          <w:b/>
          <w:bCs/>
          <w:szCs w:val="22"/>
        </w:rPr>
        <w:t>)</w:t>
      </w:r>
      <w:r w:rsidRPr="00394F3B">
        <w:rPr>
          <w:rFonts w:cs="Calibri Light"/>
          <w:b/>
          <w:bCs/>
          <w:szCs w:val="22"/>
        </w:rPr>
        <w:t>.</w:t>
      </w:r>
      <w:r w:rsidRPr="00394F3B">
        <w:rPr>
          <w:rStyle w:val="FootnoteReference"/>
          <w:rFonts w:cs="Calibri Light"/>
          <w:szCs w:val="22"/>
        </w:rPr>
        <w:footnoteReference w:id="3"/>
      </w:r>
      <w:r w:rsidRPr="00394F3B">
        <w:rPr>
          <w:rFonts w:cs="Calibri Light"/>
          <w:szCs w:val="22"/>
        </w:rPr>
        <w:t xml:space="preserve"> </w:t>
      </w:r>
      <w:r w:rsidRPr="00394F3B">
        <w:rPr>
          <w:rFonts w:eastAsiaTheme="minorHAnsi" w:cs="Calibri Light"/>
          <w:color w:val="000000"/>
          <w:szCs w:val="22"/>
        </w:rPr>
        <w:t>Information &amp; Energy Services, Inc. under contract with Sempra Energy – Emerging Technologies Program, studied the effects of a boiler controller in a real-world application at eight southern California multifamily residential facilities.</w:t>
      </w:r>
    </w:p>
    <w:p w14:paraId="5B7090F9" w14:textId="77777777" w:rsidR="00394F3B" w:rsidRPr="00394F3B" w:rsidRDefault="00394F3B" w:rsidP="00394F3B">
      <w:pPr>
        <w:rPr>
          <w:rFonts w:eastAsiaTheme="minorHAnsi" w:cs="Calibri Light"/>
          <w:color w:val="000000"/>
          <w:szCs w:val="22"/>
        </w:rPr>
      </w:pPr>
      <w:r w:rsidRPr="00394F3B">
        <w:rPr>
          <w:rFonts w:eastAsiaTheme="minorHAnsi" w:cs="Calibri Light"/>
          <w:color w:val="000000"/>
          <w:szCs w:val="22"/>
        </w:rPr>
        <w:t>The controller reduces the water temperature set-point when space heating is not required. The savings are achieved in two ways; first by controlling the set point temperature of the water in the storage tank, then by controlling the firing rate of the boiler. An average savings of 21.6% or 5.7 therms saved per month per apartment was calculated in this study.</w:t>
      </w:r>
    </w:p>
    <w:p w14:paraId="443E8748" w14:textId="463BF2ED" w:rsidR="00394F3B" w:rsidRPr="00394F3B" w:rsidRDefault="00394F3B" w:rsidP="00394F3B">
      <w:pPr>
        <w:rPr>
          <w:rFonts w:eastAsiaTheme="minorHAnsi" w:cs="Calibri Light"/>
          <w:color w:val="000000"/>
          <w:szCs w:val="22"/>
        </w:rPr>
      </w:pPr>
      <w:r w:rsidRPr="00394F3B">
        <w:rPr>
          <w:rFonts w:eastAsiaTheme="minorHAnsi" w:cs="Calibri Light"/>
          <w:color w:val="000000"/>
          <w:szCs w:val="22"/>
        </w:rPr>
        <w:t xml:space="preserve">As an example of the analysis performed, the Anaheim site uses two boilers of the same size and have roughly the same load (same number of apartments served) were directly compared by assuming that the optimized boiler would behave in the same way as the baseline boiler if the controller had not been installed. The performance of the controller with respect to </w:t>
      </w:r>
      <w:r>
        <w:rPr>
          <w:rFonts w:eastAsiaTheme="minorHAnsi" w:cs="Calibri Light"/>
          <w:color w:val="000000"/>
          <w:szCs w:val="22"/>
        </w:rPr>
        <w:t>o</w:t>
      </w:r>
      <w:r w:rsidRPr="00394F3B">
        <w:rPr>
          <w:rFonts w:eastAsiaTheme="minorHAnsi" w:cs="Calibri Light"/>
          <w:color w:val="000000"/>
          <w:szCs w:val="22"/>
        </w:rPr>
        <w:t>utdoor air temperature and the monthly Therms consumed per unit-day by the baseline and optimized boilers are shown below.</w:t>
      </w:r>
    </w:p>
    <w:p w14:paraId="6CACFF15" w14:textId="77777777" w:rsidR="00394F3B" w:rsidRDefault="00394F3B" w:rsidP="00394F3B">
      <w:pPr>
        <w:autoSpaceDE w:val="0"/>
        <w:autoSpaceDN w:val="0"/>
        <w:adjustRightInd w:val="0"/>
        <w:ind w:left="720"/>
        <w:rPr>
          <w:rFonts w:ascii="Calibri" w:eastAsiaTheme="minorHAnsi" w:hAnsi="Calibri" w:cs="Calibri"/>
          <w:color w:val="000000"/>
          <w:szCs w:val="22"/>
        </w:rPr>
      </w:pPr>
    </w:p>
    <w:p w14:paraId="43C2BABF" w14:textId="77777777" w:rsidR="00394F3B" w:rsidRDefault="00394F3B" w:rsidP="00394F3B">
      <w:pPr>
        <w:autoSpaceDE w:val="0"/>
        <w:autoSpaceDN w:val="0"/>
        <w:adjustRightInd w:val="0"/>
        <w:rPr>
          <w:rFonts w:ascii="Calibri" w:eastAsiaTheme="minorHAnsi" w:hAnsi="Calibri" w:cs="Calibri"/>
          <w:color w:val="000000"/>
          <w:szCs w:val="22"/>
        </w:rPr>
      </w:pPr>
      <w:r>
        <w:rPr>
          <w:noProof/>
        </w:rPr>
        <w:lastRenderedPageBreak/>
        <w:drawing>
          <wp:inline distT="0" distB="0" distL="0" distR="0" wp14:anchorId="67F9045C" wp14:editId="57291F34">
            <wp:extent cx="4495800" cy="2755900"/>
            <wp:effectExtent l="0" t="0" r="0" b="6350"/>
            <wp:docPr id="7" name="Content Placeholder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7" name="Content Placeholder 3"/>
                    <pic:cNvPicPr>
                      <a:picLocks noGrp="1"/>
                    </pic:cNvPicPr>
                  </pic:nvPicPr>
                  <pic:blipFill>
                    <a:blip r:embed="rId15" cstate="print"/>
                    <a:stretch>
                      <a:fillRect/>
                    </a:stretch>
                  </pic:blipFill>
                  <pic:spPr bwMode="auto">
                    <a:xfrm>
                      <a:off x="0" y="0"/>
                      <a:ext cx="4495800" cy="2755900"/>
                    </a:xfrm>
                    <a:prstGeom prst="rect">
                      <a:avLst/>
                    </a:prstGeom>
                    <a:noFill/>
                    <a:ln w="9525">
                      <a:noFill/>
                      <a:miter lim="800000"/>
                      <a:headEnd/>
                      <a:tailEnd/>
                    </a:ln>
                  </pic:spPr>
                </pic:pic>
              </a:graphicData>
            </a:graphic>
          </wp:inline>
        </w:drawing>
      </w:r>
    </w:p>
    <w:p w14:paraId="2082FD71" w14:textId="04E3416C" w:rsidR="00394F3B" w:rsidRPr="00507A0D" w:rsidRDefault="00394F3B" w:rsidP="00394F3B">
      <w:pPr>
        <w:pStyle w:val="FigureCaption"/>
      </w:pPr>
      <w:bookmarkStart w:id="13" w:name="_Toc521066682"/>
      <w:r w:rsidRPr="00507A0D">
        <w:t>Performance Temperature Trends</w:t>
      </w:r>
      <w:bookmarkEnd w:id="13"/>
    </w:p>
    <w:p w14:paraId="5BAC1388" w14:textId="77777777" w:rsidR="00394F3B" w:rsidRDefault="00394F3B" w:rsidP="00394F3B">
      <w:pPr>
        <w:autoSpaceDE w:val="0"/>
        <w:autoSpaceDN w:val="0"/>
        <w:adjustRightInd w:val="0"/>
        <w:ind w:left="720"/>
        <w:rPr>
          <w:rFonts w:ascii="Calibri" w:eastAsiaTheme="minorHAnsi" w:hAnsi="Calibri" w:cs="Calibri"/>
          <w:color w:val="000000"/>
          <w:szCs w:val="22"/>
        </w:rPr>
      </w:pPr>
    </w:p>
    <w:p w14:paraId="73761E6C" w14:textId="77777777" w:rsidR="00394F3B" w:rsidRDefault="00394F3B" w:rsidP="00394F3B">
      <w:pPr>
        <w:autoSpaceDE w:val="0"/>
        <w:autoSpaceDN w:val="0"/>
        <w:adjustRightInd w:val="0"/>
        <w:rPr>
          <w:rFonts w:ascii="Calibri" w:eastAsiaTheme="minorHAnsi" w:hAnsi="Calibri" w:cs="Calibri"/>
          <w:color w:val="000000"/>
          <w:szCs w:val="22"/>
        </w:rPr>
      </w:pPr>
      <w:r>
        <w:rPr>
          <w:noProof/>
        </w:rPr>
        <w:drawing>
          <wp:inline distT="0" distB="0" distL="0" distR="0" wp14:anchorId="5F9EE94D" wp14:editId="6E691FE3">
            <wp:extent cx="4575810" cy="2566072"/>
            <wp:effectExtent l="0" t="0" r="0" b="5715"/>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4366" cy="2570870"/>
                    </a:xfrm>
                    <a:prstGeom prst="rect">
                      <a:avLst/>
                    </a:prstGeom>
                    <a:noFill/>
                    <a:ln>
                      <a:noFill/>
                    </a:ln>
                    <a:effectLst/>
                  </pic:spPr>
                </pic:pic>
              </a:graphicData>
            </a:graphic>
          </wp:inline>
        </w:drawing>
      </w:r>
    </w:p>
    <w:p w14:paraId="157A0328" w14:textId="1D517F1D" w:rsidR="00394F3B" w:rsidRPr="00507A0D" w:rsidRDefault="00394F3B" w:rsidP="00394F3B">
      <w:pPr>
        <w:pStyle w:val="FigureCaption"/>
      </w:pPr>
      <w:bookmarkStart w:id="14" w:name="_Toc521066683"/>
      <w:r w:rsidRPr="00507A0D">
        <w:t>Retrofit Controller Performance</w:t>
      </w:r>
      <w:bookmarkEnd w:id="14"/>
    </w:p>
    <w:p w14:paraId="04D7DAFE" w14:textId="77777777" w:rsidR="00394F3B" w:rsidRPr="0011011E" w:rsidRDefault="00394F3B" w:rsidP="00394F3B"/>
    <w:p w14:paraId="5AF18021" w14:textId="77777777" w:rsidR="007D230B" w:rsidRPr="004B06E3" w:rsidRDefault="007D230B" w:rsidP="00462BB6">
      <w:pPr>
        <w:pStyle w:val="eTRMHeading3"/>
      </w:pPr>
      <w:bookmarkStart w:id="15" w:name="_Toc486490848"/>
      <w:bookmarkStart w:id="16" w:name="_Toc486580919"/>
      <w:bookmarkStart w:id="17" w:name="_Toc11253769"/>
      <w:r w:rsidRPr="004B06E3">
        <w:t>Measure Case Description</w:t>
      </w:r>
      <w:bookmarkEnd w:id="15"/>
      <w:bookmarkEnd w:id="16"/>
      <w:bookmarkEnd w:id="17"/>
    </w:p>
    <w:p w14:paraId="7340581D" w14:textId="11FD514B" w:rsidR="002942B0" w:rsidRDefault="00E11A66" w:rsidP="002942B0">
      <w:r w:rsidRPr="00E11A66">
        <w:t xml:space="preserve">The measure case is </w:t>
      </w:r>
      <w:r w:rsidR="00B809CE">
        <w:t xml:space="preserve">defined as </w:t>
      </w:r>
      <w:r w:rsidRPr="00E11A66">
        <w:t>a retrofit add-on measure that utilizes an electronic controller that responds to hot water demand and weather conditions by controlling the supply water temperature setpoint reset based on outside air temperature. With that, it fires the fewest stages needed to meet the heating load</w:t>
      </w:r>
      <w:r w:rsidR="00202FFF">
        <w:t xml:space="preserve">. </w:t>
      </w:r>
      <w:r w:rsidR="00F4070D">
        <w:t>However, hot water systems that are greater than 500,000 Btu/hr capacity and installed after 2005 do not qualify for this measure. Please see the Code Requirement section for details.</w:t>
      </w:r>
    </w:p>
    <w:p w14:paraId="01EEDB25" w14:textId="77777777" w:rsidR="00B809CE" w:rsidRDefault="00B809CE" w:rsidP="00B809CE">
      <w:pPr>
        <w:pStyle w:val="Caption"/>
      </w:pPr>
      <w:r>
        <w:lastRenderedPageBreak/>
        <w:t xml:space="preserve">Measure </w:t>
      </w:r>
      <w:r w:rsidRPr="00B809CE">
        <w:t>Offerings</w:t>
      </w:r>
    </w:p>
    <w:tbl>
      <w:tblPr>
        <w:tblW w:w="73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5"/>
        <w:gridCol w:w="5580"/>
      </w:tblGrid>
      <w:tr w:rsidR="00B809CE" w:rsidRPr="009E0BD1" w14:paraId="7EA6426B" w14:textId="77777777" w:rsidTr="00B809CE">
        <w:trPr>
          <w:trHeight w:val="290"/>
        </w:trPr>
        <w:tc>
          <w:tcPr>
            <w:tcW w:w="1795" w:type="dxa"/>
            <w:shd w:val="clear" w:color="auto" w:fill="F2F2F2" w:themeFill="background1" w:themeFillShade="F2"/>
            <w:noWrap/>
            <w:vAlign w:val="bottom"/>
            <w:hideMark/>
          </w:tcPr>
          <w:p w14:paraId="4359CF44" w14:textId="77777777" w:rsidR="00B809CE" w:rsidRPr="009E0BD1" w:rsidRDefault="00B809CE" w:rsidP="00B809CE">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Statewide Measure Offering ID</w:t>
            </w:r>
          </w:p>
        </w:tc>
        <w:tc>
          <w:tcPr>
            <w:tcW w:w="5580" w:type="dxa"/>
            <w:shd w:val="clear" w:color="auto" w:fill="F2F2F2" w:themeFill="background1" w:themeFillShade="F2"/>
            <w:vAlign w:val="bottom"/>
          </w:tcPr>
          <w:p w14:paraId="67713FB7" w14:textId="77777777" w:rsidR="00B809CE" w:rsidRPr="009E0BD1" w:rsidRDefault="00B809CE" w:rsidP="00B809CE">
            <w:pPr>
              <w:spacing w:before="0" w:after="0" w:line="240" w:lineRule="auto"/>
              <w:jc w:val="center"/>
              <w:rPr>
                <w:rFonts w:eastAsia="Times New Roman" w:cs="Calibri Light"/>
                <w:b/>
                <w:bCs/>
                <w:color w:val="000000"/>
                <w:sz w:val="20"/>
                <w:szCs w:val="20"/>
              </w:rPr>
            </w:pPr>
            <w:r>
              <w:rPr>
                <w:rFonts w:cs="Calibri Light"/>
                <w:b/>
                <w:bCs/>
                <w:color w:val="000000"/>
                <w:sz w:val="20"/>
                <w:szCs w:val="20"/>
              </w:rPr>
              <w:t>Measure Offering Description</w:t>
            </w:r>
          </w:p>
        </w:tc>
      </w:tr>
      <w:tr w:rsidR="00B809CE" w:rsidRPr="009E0BD1" w14:paraId="5729EDFF" w14:textId="77777777" w:rsidTr="0031777A">
        <w:trPr>
          <w:trHeight w:val="290"/>
        </w:trPr>
        <w:tc>
          <w:tcPr>
            <w:tcW w:w="1795" w:type="dxa"/>
            <w:shd w:val="clear" w:color="auto" w:fill="auto"/>
            <w:noWrap/>
            <w:vAlign w:val="center"/>
          </w:tcPr>
          <w:p w14:paraId="4B4EF523" w14:textId="14945E74" w:rsidR="00B809CE" w:rsidRPr="009E0BD1" w:rsidRDefault="00B809CE" w:rsidP="0031777A">
            <w:pPr>
              <w:spacing w:before="0" w:after="0" w:line="240" w:lineRule="auto"/>
              <w:rPr>
                <w:rFonts w:eastAsia="Times New Roman" w:cs="Calibri Light"/>
                <w:color w:val="000000"/>
                <w:sz w:val="20"/>
                <w:szCs w:val="20"/>
              </w:rPr>
            </w:pPr>
            <w:r w:rsidRPr="00B809CE">
              <w:rPr>
                <w:rFonts w:eastAsia="Times New Roman" w:cs="Calibri Light"/>
                <w:color w:val="000000"/>
                <w:sz w:val="20"/>
                <w:szCs w:val="20"/>
              </w:rPr>
              <w:t>SWWH024A</w:t>
            </w:r>
          </w:p>
        </w:tc>
        <w:tc>
          <w:tcPr>
            <w:tcW w:w="5580" w:type="dxa"/>
            <w:vAlign w:val="center"/>
          </w:tcPr>
          <w:p w14:paraId="2F1F19B5" w14:textId="790500E1" w:rsidR="00B809CE" w:rsidRPr="009E0BD1" w:rsidRDefault="00840F93" w:rsidP="0031777A">
            <w:pPr>
              <w:spacing w:before="0" w:after="0" w:line="240" w:lineRule="auto"/>
              <w:rPr>
                <w:rFonts w:eastAsia="Times New Roman" w:cs="Calibri Light"/>
                <w:color w:val="000000"/>
                <w:sz w:val="20"/>
                <w:szCs w:val="20"/>
              </w:rPr>
            </w:pPr>
            <w:r w:rsidRPr="00840F93">
              <w:rPr>
                <w:rFonts w:eastAsia="Times New Roman" w:cs="Calibri Light"/>
                <w:color w:val="000000"/>
                <w:sz w:val="20"/>
                <w:szCs w:val="20"/>
              </w:rPr>
              <w:t>Central Boiler Dual Setpoint Temperature Controller</w:t>
            </w:r>
            <w:r>
              <w:rPr>
                <w:rFonts w:eastAsia="Times New Roman" w:cs="Calibri Light"/>
                <w:color w:val="000000"/>
                <w:sz w:val="20"/>
                <w:szCs w:val="20"/>
              </w:rPr>
              <w:t>,</w:t>
            </w:r>
            <w:r w:rsidRPr="00840F93">
              <w:rPr>
                <w:rFonts w:eastAsia="Times New Roman" w:cs="Calibri Light"/>
                <w:color w:val="000000"/>
                <w:sz w:val="20"/>
                <w:szCs w:val="20"/>
              </w:rPr>
              <w:t xml:space="preserve"> </w:t>
            </w:r>
            <w:r w:rsidR="00B809CE" w:rsidRPr="00B809CE">
              <w:rPr>
                <w:rFonts w:eastAsia="Times New Roman" w:cs="Calibri Light"/>
                <w:color w:val="000000"/>
                <w:sz w:val="20"/>
                <w:szCs w:val="20"/>
              </w:rPr>
              <w:t>MFm</w:t>
            </w:r>
          </w:p>
        </w:tc>
      </w:tr>
    </w:tbl>
    <w:p w14:paraId="5BD51F9D" w14:textId="77777777" w:rsidR="00E11A66" w:rsidRDefault="00E11A66" w:rsidP="002942B0"/>
    <w:p w14:paraId="3A192C27" w14:textId="6582C2E4" w:rsidR="00E11A66" w:rsidRDefault="00E70CBD" w:rsidP="00C70F29">
      <w:pPr>
        <w:pStyle w:val="eTRMHeading3"/>
      </w:pPr>
      <w:bookmarkStart w:id="18" w:name="_Toc486490849"/>
      <w:bookmarkStart w:id="19" w:name="_Toc486580920"/>
      <w:bookmarkStart w:id="20" w:name="_Toc11253770"/>
      <w:r w:rsidRPr="004B06E3">
        <w:t>Base Case Description</w:t>
      </w:r>
      <w:bookmarkEnd w:id="18"/>
      <w:bookmarkEnd w:id="19"/>
      <w:bookmarkEnd w:id="20"/>
      <w:r w:rsidRPr="00171BB8">
        <w:t xml:space="preserve"> </w:t>
      </w:r>
    </w:p>
    <w:p w14:paraId="38491D7B" w14:textId="4FCF4A33" w:rsidR="00E75E3E" w:rsidRPr="00D82154" w:rsidRDefault="00C70F29" w:rsidP="00C70F29">
      <w:pPr>
        <w:rPr>
          <w:szCs w:val="22"/>
        </w:rPr>
      </w:pPr>
      <w:r>
        <w:t xml:space="preserve">The base case is </w:t>
      </w:r>
      <w:r w:rsidR="00B809CE">
        <w:t xml:space="preserve">defined as </w:t>
      </w:r>
      <w:r>
        <w:t xml:space="preserve">a centralized gas-fired hot water boiler </w:t>
      </w:r>
      <w:r w:rsidR="00B809CE">
        <w:t xml:space="preserve">that </w:t>
      </w:r>
      <w:r>
        <w:t>serv</w:t>
      </w:r>
      <w:r w:rsidR="00B809CE">
        <w:t>es</w:t>
      </w:r>
      <w:r>
        <w:t xml:space="preserve"> dwelling-units with combined space heating and domestic hot water. The system operates with no controls or basic aquastat tank temp setpoint using manufacturer built-in controller with tank temp feedback from an analog thermostat. The basic aquastat control lacks accuracy, requires extensive calibration, and inefficiently allow all stages to fire at once (</w:t>
      </w:r>
      <w:r w:rsidR="00B809CE">
        <w:t>ON</w:t>
      </w:r>
      <w:r>
        <w:t>/</w:t>
      </w:r>
      <w:r w:rsidR="00B809CE">
        <w:t>OFF</w:t>
      </w:r>
      <w:r>
        <w:t>). The aquastat high limit and a low limit tank temperature setpoint are widely used in older boilers.</w:t>
      </w:r>
    </w:p>
    <w:p w14:paraId="03E343E7" w14:textId="77777777" w:rsidR="005C7A2F" w:rsidRPr="002942B0" w:rsidRDefault="005C7A2F" w:rsidP="002942B0"/>
    <w:p w14:paraId="7D9DA4A6" w14:textId="77777777" w:rsidR="007D230B" w:rsidRPr="00171BB8" w:rsidRDefault="007D230B" w:rsidP="004F705B">
      <w:pPr>
        <w:pStyle w:val="eTRMHeading3"/>
      </w:pPr>
      <w:bookmarkStart w:id="21" w:name="_Toc486490850"/>
      <w:bookmarkStart w:id="22" w:name="_Toc486580921"/>
      <w:bookmarkStart w:id="23" w:name="_Toc11253771"/>
      <w:r w:rsidRPr="004B06E3">
        <w:t>Code Requirements</w:t>
      </w:r>
      <w:bookmarkEnd w:id="21"/>
      <w:bookmarkEnd w:id="22"/>
      <w:bookmarkEnd w:id="23"/>
    </w:p>
    <w:p w14:paraId="30DC91E0" w14:textId="75F6CAA2" w:rsidR="0054246D" w:rsidRPr="00D82154" w:rsidRDefault="003517A3" w:rsidP="00D82154">
      <w:pPr>
        <w:rPr>
          <w:rFonts w:cstheme="minorHAnsi"/>
        </w:rPr>
      </w:pPr>
      <w:r>
        <w:rPr>
          <w:rFonts w:cstheme="minorHAnsi"/>
        </w:rPr>
        <w:t>This measure is governed by the California Building Energy Efficiency Standards (Title 24),</w:t>
      </w:r>
      <w:r>
        <w:rPr>
          <w:rStyle w:val="FootnoteReference"/>
          <w:rFonts w:cstheme="minorHAnsi"/>
        </w:rPr>
        <w:footnoteReference w:id="4"/>
      </w:r>
      <w:r>
        <w:rPr>
          <w:rFonts w:cstheme="minorHAnsi"/>
        </w:rPr>
        <w:t xml:space="preserve"> </w:t>
      </w:r>
      <w:r w:rsidR="00C70F29" w:rsidRPr="00C70F29">
        <w:rPr>
          <w:rFonts w:cstheme="minorHAnsi"/>
        </w:rPr>
        <w:t>Section 14</w:t>
      </w:r>
      <w:r w:rsidR="002830E7">
        <w:rPr>
          <w:rFonts w:cstheme="minorHAnsi"/>
        </w:rPr>
        <w:t>0.</w:t>
      </w:r>
      <w:r w:rsidR="00C70F29" w:rsidRPr="00C70F29">
        <w:rPr>
          <w:rFonts w:cstheme="minorHAnsi"/>
        </w:rPr>
        <w:t>4 (</w:t>
      </w:r>
      <w:r w:rsidR="002830E7">
        <w:rPr>
          <w:rFonts w:cstheme="minorHAnsi"/>
        </w:rPr>
        <w:t>k</w:t>
      </w:r>
      <w:r w:rsidR="00C70F29" w:rsidRPr="00C70F29">
        <w:rPr>
          <w:rFonts w:cstheme="minorHAnsi"/>
        </w:rPr>
        <w:t xml:space="preserve">) 4: Chilled and Hot Water Temperature Reset Controls. </w:t>
      </w:r>
      <w:r>
        <w:rPr>
          <w:rFonts w:cstheme="minorHAnsi"/>
        </w:rPr>
        <w:t>Since 2005, Title 24 has required</w:t>
      </w:r>
      <w:r w:rsidR="009972DB">
        <w:rPr>
          <w:rFonts w:cstheme="minorHAnsi"/>
        </w:rPr>
        <w:t xml:space="preserve"> </w:t>
      </w:r>
      <w:r w:rsidR="00F13BBC">
        <w:rPr>
          <w:rFonts w:cstheme="minorHAnsi"/>
        </w:rPr>
        <w:t xml:space="preserve">new </w:t>
      </w:r>
      <w:r w:rsidR="009972DB">
        <w:rPr>
          <w:rFonts w:cstheme="minorHAnsi"/>
        </w:rPr>
        <w:t>buildings with</w:t>
      </w:r>
      <w:r>
        <w:rPr>
          <w:rFonts w:cstheme="minorHAnsi"/>
        </w:rPr>
        <w:t xml:space="preserve"> c</w:t>
      </w:r>
      <w:r w:rsidR="00C70F29" w:rsidRPr="00C70F29">
        <w:rPr>
          <w:rFonts w:cstheme="minorHAnsi"/>
        </w:rPr>
        <w:t xml:space="preserve">hilled and hot water systems with a design capacity exceeding 500,000 Btu/h supplying chilled or heated water (or both) </w:t>
      </w:r>
      <w:r>
        <w:rPr>
          <w:rFonts w:cstheme="minorHAnsi"/>
        </w:rPr>
        <w:t>to</w:t>
      </w:r>
      <w:r w:rsidR="00C70F29" w:rsidRPr="00C70F29">
        <w:rPr>
          <w:rFonts w:cstheme="minorHAnsi"/>
        </w:rPr>
        <w:t xml:space="preserve"> include controls that automatically reset supply water temperatures as a function of representative building loads or outside air temperature.</w:t>
      </w:r>
    </w:p>
    <w:p w14:paraId="7E96141F" w14:textId="045E64F4" w:rsidR="00FD2C54" w:rsidRDefault="00FD2C54" w:rsidP="00B809CE">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45"/>
        <w:gridCol w:w="4500"/>
        <w:gridCol w:w="1890"/>
      </w:tblGrid>
      <w:tr w:rsidR="00FC77BB" w:rsidRPr="00154391" w14:paraId="4623D54B" w14:textId="689B6080" w:rsidTr="006F005E">
        <w:trPr>
          <w:cantSplit/>
          <w:trHeight w:val="20"/>
        </w:trPr>
        <w:tc>
          <w:tcPr>
            <w:tcW w:w="314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450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189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D26F0" w:rsidRPr="00B809CE" w14:paraId="782F7264" w14:textId="345CFA23" w:rsidTr="00AE15ED">
        <w:trPr>
          <w:cantSplit/>
          <w:trHeight w:val="20"/>
        </w:trPr>
        <w:tc>
          <w:tcPr>
            <w:tcW w:w="3145" w:type="dxa"/>
            <w:shd w:val="clear" w:color="auto" w:fill="auto"/>
          </w:tcPr>
          <w:p w14:paraId="67BA833F" w14:textId="14E2E367" w:rsidR="00FD26F0" w:rsidRPr="00B809CE" w:rsidRDefault="00FD26F0" w:rsidP="00FD26F0">
            <w:pPr>
              <w:keepNext/>
              <w:keepLines/>
              <w:spacing w:before="20" w:after="20"/>
              <w:rPr>
                <w:sz w:val="20"/>
                <w:szCs w:val="20"/>
              </w:rPr>
            </w:pPr>
            <w:r w:rsidRPr="00653B06">
              <w:rPr>
                <w:sz w:val="20"/>
                <w:szCs w:val="20"/>
              </w:rPr>
              <w:t xml:space="preserve">CA Appliance Efficiency Regulations – Title 20 </w:t>
            </w:r>
            <w:r>
              <w:rPr>
                <w:sz w:val="20"/>
                <w:szCs w:val="20"/>
              </w:rPr>
              <w:t>(20</w:t>
            </w:r>
            <w:r w:rsidR="00840F93">
              <w:rPr>
                <w:sz w:val="20"/>
                <w:szCs w:val="20"/>
              </w:rPr>
              <w:t>19</w:t>
            </w:r>
            <w:r>
              <w:rPr>
                <w:sz w:val="20"/>
                <w:szCs w:val="20"/>
              </w:rPr>
              <w:t>)</w:t>
            </w:r>
          </w:p>
        </w:tc>
        <w:tc>
          <w:tcPr>
            <w:tcW w:w="4500" w:type="dxa"/>
            <w:shd w:val="clear" w:color="auto" w:fill="auto"/>
            <w:vAlign w:val="center"/>
          </w:tcPr>
          <w:p w14:paraId="794A0264" w14:textId="4CEB3991" w:rsidR="00FD26F0" w:rsidRPr="00B809CE" w:rsidRDefault="00FD26F0" w:rsidP="00FD26F0">
            <w:pPr>
              <w:keepNext/>
              <w:keepLines/>
              <w:spacing w:before="20" w:after="20"/>
              <w:rPr>
                <w:rFonts w:cs="Calibri Light"/>
                <w:sz w:val="20"/>
                <w:szCs w:val="20"/>
              </w:rPr>
            </w:pPr>
            <w:r w:rsidRPr="00B809CE">
              <w:rPr>
                <w:rFonts w:cstheme="minorHAnsi"/>
                <w:sz w:val="20"/>
                <w:szCs w:val="20"/>
              </w:rPr>
              <w:t>None.</w:t>
            </w:r>
          </w:p>
        </w:tc>
        <w:tc>
          <w:tcPr>
            <w:tcW w:w="1890" w:type="dxa"/>
            <w:shd w:val="clear" w:color="auto" w:fill="auto"/>
            <w:vAlign w:val="center"/>
          </w:tcPr>
          <w:p w14:paraId="274AB5DC" w14:textId="54A70304" w:rsidR="00FD26F0" w:rsidRPr="00B809CE" w:rsidRDefault="00FD26F0" w:rsidP="00FD26F0">
            <w:pPr>
              <w:keepNext/>
              <w:keepLines/>
              <w:spacing w:before="20" w:after="20"/>
              <w:rPr>
                <w:sz w:val="20"/>
                <w:szCs w:val="20"/>
              </w:rPr>
            </w:pPr>
          </w:p>
        </w:tc>
      </w:tr>
      <w:tr w:rsidR="00FD26F0" w:rsidRPr="00B809CE" w14:paraId="1238F946" w14:textId="64CC1E4E" w:rsidTr="00AE15ED">
        <w:trPr>
          <w:cantSplit/>
          <w:trHeight w:val="20"/>
        </w:trPr>
        <w:tc>
          <w:tcPr>
            <w:tcW w:w="3145" w:type="dxa"/>
            <w:shd w:val="clear" w:color="auto" w:fill="auto"/>
          </w:tcPr>
          <w:p w14:paraId="4F444C61" w14:textId="75CA4B2C" w:rsidR="00FD26F0" w:rsidRPr="00B809CE" w:rsidRDefault="00FD26F0" w:rsidP="00FD26F0">
            <w:pPr>
              <w:keepNext/>
              <w:keepLines/>
              <w:spacing w:before="20" w:after="20"/>
              <w:rPr>
                <w:sz w:val="20"/>
                <w:szCs w:val="20"/>
              </w:rPr>
            </w:pPr>
            <w:r w:rsidRPr="00653B06">
              <w:rPr>
                <w:sz w:val="20"/>
                <w:szCs w:val="20"/>
              </w:rPr>
              <w:t>CA Building Energy Efficiency Standards – Title 24 (20</w:t>
            </w:r>
            <w:r w:rsidR="00840F93">
              <w:rPr>
                <w:sz w:val="20"/>
                <w:szCs w:val="20"/>
              </w:rPr>
              <w:t>19</w:t>
            </w:r>
            <w:r w:rsidRPr="00653B06">
              <w:rPr>
                <w:sz w:val="20"/>
                <w:szCs w:val="20"/>
              </w:rPr>
              <w:t>)</w:t>
            </w:r>
          </w:p>
        </w:tc>
        <w:tc>
          <w:tcPr>
            <w:tcW w:w="4500" w:type="dxa"/>
            <w:shd w:val="clear" w:color="auto" w:fill="auto"/>
            <w:vAlign w:val="center"/>
          </w:tcPr>
          <w:p w14:paraId="0A330E5E" w14:textId="3EF1E1FE" w:rsidR="00FD26F0" w:rsidRPr="00B809CE" w:rsidRDefault="00FD26F0" w:rsidP="00FD26F0">
            <w:pPr>
              <w:keepNext/>
              <w:keepLines/>
              <w:spacing w:before="20" w:after="20"/>
              <w:rPr>
                <w:rFonts w:cs="Calibri Light"/>
                <w:sz w:val="20"/>
                <w:szCs w:val="20"/>
              </w:rPr>
            </w:pPr>
            <w:r w:rsidRPr="00B809CE">
              <w:rPr>
                <w:rFonts w:cstheme="minorHAnsi"/>
                <w:sz w:val="20"/>
                <w:szCs w:val="20"/>
              </w:rPr>
              <w:t>Section 14</w:t>
            </w:r>
            <w:r w:rsidR="008453E1">
              <w:rPr>
                <w:rFonts w:cstheme="minorHAnsi"/>
                <w:sz w:val="20"/>
                <w:szCs w:val="20"/>
              </w:rPr>
              <w:t>0.4</w:t>
            </w:r>
            <w:r w:rsidRPr="00B809CE">
              <w:rPr>
                <w:rFonts w:cstheme="minorHAnsi"/>
                <w:sz w:val="20"/>
                <w:szCs w:val="20"/>
              </w:rPr>
              <w:t xml:space="preserve"> (</w:t>
            </w:r>
            <w:r w:rsidR="00026E1D">
              <w:rPr>
                <w:rFonts w:cstheme="minorHAnsi"/>
                <w:sz w:val="20"/>
                <w:szCs w:val="20"/>
              </w:rPr>
              <w:t>k</w:t>
            </w:r>
            <w:r w:rsidRPr="00B809CE">
              <w:rPr>
                <w:rFonts w:cstheme="minorHAnsi"/>
                <w:sz w:val="20"/>
                <w:szCs w:val="20"/>
              </w:rPr>
              <w:t>) 4:</w:t>
            </w:r>
            <w:r w:rsidRPr="00B809CE">
              <w:rPr>
                <w:sz w:val="20"/>
                <w:szCs w:val="20"/>
              </w:rPr>
              <w:t xml:space="preserve"> </w:t>
            </w:r>
            <w:r w:rsidRPr="00B809CE">
              <w:rPr>
                <w:rFonts w:cstheme="minorHAnsi"/>
                <w:sz w:val="20"/>
                <w:szCs w:val="20"/>
              </w:rPr>
              <w:t>Chilled and Hot Water Temperature Reset Controls</w:t>
            </w:r>
          </w:p>
        </w:tc>
        <w:tc>
          <w:tcPr>
            <w:tcW w:w="1890" w:type="dxa"/>
            <w:shd w:val="clear" w:color="auto" w:fill="auto"/>
            <w:vAlign w:val="center"/>
          </w:tcPr>
          <w:p w14:paraId="63BAD98E" w14:textId="7E583EFB" w:rsidR="00FD26F0" w:rsidRPr="00B809CE" w:rsidRDefault="00273F3E" w:rsidP="00FD26F0">
            <w:pPr>
              <w:keepNext/>
              <w:keepLines/>
              <w:spacing w:before="20" w:after="20"/>
              <w:rPr>
                <w:sz w:val="20"/>
                <w:szCs w:val="20"/>
              </w:rPr>
            </w:pPr>
            <w:r>
              <w:rPr>
                <w:rFonts w:cstheme="minorHAnsi"/>
                <w:sz w:val="20"/>
                <w:szCs w:val="20"/>
              </w:rPr>
              <w:t>January</w:t>
            </w:r>
            <w:r w:rsidR="00FD26F0" w:rsidRPr="00B809CE">
              <w:rPr>
                <w:rFonts w:cstheme="minorHAnsi"/>
                <w:sz w:val="20"/>
                <w:szCs w:val="20"/>
              </w:rPr>
              <w:t xml:space="preserve"> 1, 20</w:t>
            </w:r>
            <w:r>
              <w:rPr>
                <w:rFonts w:cstheme="minorHAnsi"/>
                <w:sz w:val="20"/>
                <w:szCs w:val="20"/>
              </w:rPr>
              <w:t>19</w:t>
            </w:r>
          </w:p>
        </w:tc>
      </w:tr>
      <w:tr w:rsidR="00FD26F0" w:rsidRPr="00B809CE" w14:paraId="23FB50B6" w14:textId="5078B94B" w:rsidTr="00AE15ED">
        <w:trPr>
          <w:cantSplit/>
          <w:trHeight w:val="20"/>
        </w:trPr>
        <w:tc>
          <w:tcPr>
            <w:tcW w:w="3145" w:type="dxa"/>
            <w:shd w:val="clear" w:color="auto" w:fill="auto"/>
          </w:tcPr>
          <w:p w14:paraId="2EBFC05B" w14:textId="089FE7D3" w:rsidR="00FD26F0" w:rsidRPr="00B809CE" w:rsidRDefault="00FD26F0" w:rsidP="00FD26F0">
            <w:pPr>
              <w:keepNext/>
              <w:keepLines/>
              <w:spacing w:before="20" w:after="20"/>
              <w:rPr>
                <w:sz w:val="20"/>
                <w:szCs w:val="20"/>
              </w:rPr>
            </w:pPr>
            <w:r w:rsidRPr="00653B06">
              <w:rPr>
                <w:sz w:val="20"/>
                <w:szCs w:val="20"/>
              </w:rPr>
              <w:t>Federal Standards</w:t>
            </w:r>
          </w:p>
        </w:tc>
        <w:tc>
          <w:tcPr>
            <w:tcW w:w="4500" w:type="dxa"/>
            <w:shd w:val="clear" w:color="auto" w:fill="auto"/>
            <w:vAlign w:val="center"/>
          </w:tcPr>
          <w:p w14:paraId="0D43394E" w14:textId="4DF6FBE2" w:rsidR="00FD26F0" w:rsidRPr="00B809CE" w:rsidRDefault="00FD26F0" w:rsidP="00FD26F0">
            <w:pPr>
              <w:keepNext/>
              <w:keepLines/>
              <w:spacing w:before="20" w:after="20"/>
              <w:rPr>
                <w:rFonts w:cs="Calibri Light"/>
                <w:sz w:val="20"/>
                <w:szCs w:val="20"/>
              </w:rPr>
            </w:pPr>
            <w:r w:rsidRPr="00B809CE">
              <w:rPr>
                <w:rFonts w:cs="Calibri Light"/>
                <w:sz w:val="20"/>
                <w:szCs w:val="20"/>
              </w:rPr>
              <w:t>None.</w:t>
            </w:r>
          </w:p>
        </w:tc>
        <w:tc>
          <w:tcPr>
            <w:tcW w:w="1890" w:type="dxa"/>
            <w:shd w:val="clear" w:color="auto" w:fill="auto"/>
            <w:vAlign w:val="center"/>
          </w:tcPr>
          <w:p w14:paraId="66FA1B6F" w14:textId="24C00D18" w:rsidR="00FD26F0" w:rsidRPr="00B809CE" w:rsidRDefault="00FD26F0" w:rsidP="00FD26F0">
            <w:pPr>
              <w:keepNext/>
              <w:keepLines/>
              <w:spacing w:before="20" w:after="20"/>
              <w:rPr>
                <w:sz w:val="20"/>
                <w:szCs w:val="20"/>
              </w:rPr>
            </w:pPr>
          </w:p>
        </w:tc>
      </w:tr>
    </w:tbl>
    <w:p w14:paraId="05B6327D" w14:textId="77777777" w:rsidR="00FD26F0" w:rsidRDefault="00FD26F0" w:rsidP="0011498C"/>
    <w:p w14:paraId="1EE16D20" w14:textId="77777777" w:rsidR="007D230B" w:rsidRPr="00171BB8" w:rsidRDefault="007D230B" w:rsidP="00462BB6">
      <w:pPr>
        <w:pStyle w:val="eTRMHeading3"/>
      </w:pPr>
      <w:bookmarkStart w:id="24" w:name="_Toc486490851"/>
      <w:bookmarkStart w:id="25" w:name="_Toc486580922"/>
      <w:bookmarkStart w:id="26" w:name="_Toc11253772"/>
      <w:r w:rsidRPr="00A83458">
        <w:t>Normalizing</w:t>
      </w:r>
      <w:r w:rsidRPr="00171BB8">
        <w:t xml:space="preserve"> Unit</w:t>
      </w:r>
      <w:bookmarkEnd w:id="24"/>
      <w:bookmarkEnd w:id="25"/>
      <w:bookmarkEnd w:id="26"/>
    </w:p>
    <w:p w14:paraId="0115BB45" w14:textId="261B3BB4" w:rsidR="009C31A4" w:rsidRDefault="00334B50" w:rsidP="00486585">
      <w:r w:rsidRPr="00334B50">
        <w:t>None</w:t>
      </w:r>
    </w:p>
    <w:p w14:paraId="3E37BE24" w14:textId="77777777" w:rsidR="009F1E20" w:rsidRPr="007D230B" w:rsidRDefault="009F1E20" w:rsidP="00486585"/>
    <w:p w14:paraId="2F4904E6" w14:textId="77777777" w:rsidR="007D230B" w:rsidRPr="004B06E3" w:rsidRDefault="007D230B" w:rsidP="00462BB6">
      <w:pPr>
        <w:pStyle w:val="eTRMHeading3"/>
      </w:pPr>
      <w:bookmarkStart w:id="27" w:name="_Toc486490852"/>
      <w:bookmarkStart w:id="28" w:name="_Toc486580923"/>
      <w:bookmarkStart w:id="29" w:name="_Toc11253773"/>
      <w:bookmarkStart w:id="30" w:name="_Hlk515365299"/>
      <w:bookmarkStart w:id="31" w:name="_Hlk515878271"/>
      <w:r w:rsidRPr="004B06E3">
        <w:t>Program Requirements</w:t>
      </w:r>
      <w:bookmarkEnd w:id="27"/>
      <w:bookmarkEnd w:id="28"/>
      <w:bookmarkEnd w:id="29"/>
      <w:r w:rsidRPr="004B06E3">
        <w:t xml:space="preserve"> </w:t>
      </w:r>
    </w:p>
    <w:p w14:paraId="1D41B551" w14:textId="77777777" w:rsidR="00FD26F0" w:rsidRDefault="00FD26F0" w:rsidP="00FD26F0">
      <w:pPr>
        <w:pStyle w:val="eTRMHeading5"/>
        <w:keepNext/>
        <w:keepLines/>
      </w:pPr>
      <w:bookmarkStart w:id="32" w:name="_Hlk516047641"/>
      <w:bookmarkEnd w:id="30"/>
      <w:r>
        <w:t>Measure Implementation Eligibility</w:t>
      </w:r>
    </w:p>
    <w:p w14:paraId="7CD5A2B0" w14:textId="77777777" w:rsidR="00FD26F0" w:rsidRDefault="00FD26F0" w:rsidP="00FD26F0">
      <w:bookmarkStart w:id="33" w:name="_Hlk527543844"/>
      <w:bookmarkStart w:id="34"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xml:space="preserve">. Measure application type is a categorization based on the circumstances </w:t>
      </w:r>
      <w:r w:rsidRPr="00E35B8D">
        <w:lastRenderedPageBreak/>
        <w:t>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3"/>
    </w:p>
    <w:bookmarkEnd w:id="34"/>
    <w:p w14:paraId="2ACF37F8" w14:textId="77777777" w:rsidR="00FD26F0" w:rsidRPr="00CC4643" w:rsidRDefault="00FD26F0" w:rsidP="00FD26F0">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52D6E4AD" w:rsidR="001B426F" w:rsidRDefault="001B426F" w:rsidP="00B809CE">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FD26F0" w:rsidRPr="00A47168" w14:paraId="40946250" w14:textId="77777777" w:rsidTr="00FD26F0">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FD26F0" w:rsidRPr="00A47168" w:rsidRDefault="00FD26F0"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324F2D22" w:rsidR="00FD26F0" w:rsidRPr="00A47168" w:rsidRDefault="00FD26F0"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FD26F0" w:rsidRPr="00A47168" w:rsidRDefault="00FD26F0" w:rsidP="001B426F">
            <w:pPr>
              <w:keepNext/>
              <w:spacing w:before="0" w:after="0"/>
              <w:rPr>
                <w:b/>
                <w:bCs/>
                <w:sz w:val="20"/>
              </w:rPr>
            </w:pPr>
            <w:r w:rsidRPr="00A47168">
              <w:rPr>
                <w:b/>
                <w:bCs/>
                <w:sz w:val="20"/>
              </w:rPr>
              <w:t>Sector</w:t>
            </w:r>
          </w:p>
        </w:tc>
      </w:tr>
      <w:tr w:rsidR="00355CEE" w:rsidRPr="00FD26F0" w14:paraId="54F21FF2" w14:textId="77777777" w:rsidTr="00FD26F0">
        <w:trPr>
          <w:trHeight w:val="290"/>
        </w:trPr>
        <w:tc>
          <w:tcPr>
            <w:tcW w:w="3024" w:type="dxa"/>
            <w:noWrap/>
            <w:tcMar>
              <w:top w:w="0" w:type="dxa"/>
              <w:left w:w="108" w:type="dxa"/>
              <w:bottom w:w="0" w:type="dxa"/>
              <w:right w:w="108" w:type="dxa"/>
            </w:tcMar>
            <w:vAlign w:val="bottom"/>
          </w:tcPr>
          <w:p w14:paraId="178C5C26" w14:textId="0AE7AEF6"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7EB7E369" w14:textId="43C12B97"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DnDeemed</w:t>
            </w:r>
          </w:p>
        </w:tc>
        <w:tc>
          <w:tcPr>
            <w:tcW w:w="3024" w:type="dxa"/>
            <w:noWrap/>
            <w:tcMar>
              <w:top w:w="0" w:type="dxa"/>
              <w:left w:w="108" w:type="dxa"/>
              <w:bottom w:w="0" w:type="dxa"/>
              <w:right w:w="108" w:type="dxa"/>
            </w:tcMar>
            <w:vAlign w:val="bottom"/>
          </w:tcPr>
          <w:p w14:paraId="6F9C2987" w14:textId="2082087A"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Res</w:t>
            </w:r>
          </w:p>
        </w:tc>
      </w:tr>
      <w:tr w:rsidR="00355CEE" w:rsidRPr="00FD26F0" w14:paraId="5D22EDDB" w14:textId="77777777" w:rsidTr="00FD26F0">
        <w:trPr>
          <w:trHeight w:val="290"/>
        </w:trPr>
        <w:tc>
          <w:tcPr>
            <w:tcW w:w="3024" w:type="dxa"/>
            <w:noWrap/>
            <w:tcMar>
              <w:top w:w="0" w:type="dxa"/>
              <w:left w:w="108" w:type="dxa"/>
              <w:bottom w:w="0" w:type="dxa"/>
              <w:right w:w="108" w:type="dxa"/>
            </w:tcMar>
            <w:vAlign w:val="bottom"/>
          </w:tcPr>
          <w:p w14:paraId="67C06326" w14:textId="0C7B1D1D"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5AA899A5" w14:textId="5F061245" w:rsidR="00355CEE" w:rsidRPr="00FD26F0" w:rsidRDefault="00355CEE" w:rsidP="00355CEE">
            <w:pPr>
              <w:keepNext/>
              <w:spacing w:before="0" w:after="0"/>
              <w:rPr>
                <w:rFonts w:cs="Calibri Light"/>
                <w:color w:val="000000"/>
                <w:sz w:val="20"/>
                <w:szCs w:val="20"/>
              </w:rPr>
            </w:pPr>
            <w:r>
              <w:rPr>
                <w:rFonts w:cs="Calibri Light"/>
                <w:color w:val="000000"/>
                <w:sz w:val="20"/>
                <w:szCs w:val="20"/>
              </w:rPr>
              <w:t>UpDeemed</w:t>
            </w:r>
          </w:p>
        </w:tc>
        <w:tc>
          <w:tcPr>
            <w:tcW w:w="3024" w:type="dxa"/>
            <w:noWrap/>
            <w:tcMar>
              <w:top w:w="0" w:type="dxa"/>
              <w:left w:w="108" w:type="dxa"/>
              <w:bottom w:w="0" w:type="dxa"/>
              <w:right w:w="108" w:type="dxa"/>
            </w:tcMar>
            <w:vAlign w:val="bottom"/>
          </w:tcPr>
          <w:p w14:paraId="111B3DEA" w14:textId="0E9EF48D"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Res</w:t>
            </w:r>
          </w:p>
        </w:tc>
      </w:tr>
      <w:tr w:rsidR="00355CEE" w:rsidRPr="00FD26F0" w14:paraId="3D4EED6B" w14:textId="77777777" w:rsidTr="00FD26F0">
        <w:trPr>
          <w:trHeight w:val="290"/>
        </w:trPr>
        <w:tc>
          <w:tcPr>
            <w:tcW w:w="3024" w:type="dxa"/>
            <w:noWrap/>
            <w:tcMar>
              <w:top w:w="0" w:type="dxa"/>
              <w:left w:w="108" w:type="dxa"/>
              <w:bottom w:w="0" w:type="dxa"/>
              <w:right w:w="108" w:type="dxa"/>
            </w:tcMar>
            <w:vAlign w:val="bottom"/>
          </w:tcPr>
          <w:p w14:paraId="53CB7405" w14:textId="45AEB7B0"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Add-on equipment</w:t>
            </w:r>
          </w:p>
        </w:tc>
        <w:tc>
          <w:tcPr>
            <w:tcW w:w="3024" w:type="dxa"/>
            <w:noWrap/>
            <w:tcMar>
              <w:top w:w="0" w:type="dxa"/>
              <w:left w:w="108" w:type="dxa"/>
              <w:bottom w:w="0" w:type="dxa"/>
              <w:right w:w="108" w:type="dxa"/>
            </w:tcMar>
            <w:vAlign w:val="bottom"/>
          </w:tcPr>
          <w:p w14:paraId="3F2ED3D6" w14:textId="5AC9BCE8"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DnDeemDI</w:t>
            </w:r>
          </w:p>
        </w:tc>
        <w:tc>
          <w:tcPr>
            <w:tcW w:w="3024" w:type="dxa"/>
            <w:noWrap/>
            <w:tcMar>
              <w:top w:w="0" w:type="dxa"/>
              <w:left w:w="108" w:type="dxa"/>
              <w:bottom w:w="0" w:type="dxa"/>
              <w:right w:w="108" w:type="dxa"/>
            </w:tcMar>
            <w:vAlign w:val="bottom"/>
          </w:tcPr>
          <w:p w14:paraId="0281816D" w14:textId="0860E9E6" w:rsidR="00355CEE" w:rsidRPr="00FD26F0" w:rsidRDefault="00355CEE" w:rsidP="00355CEE">
            <w:pPr>
              <w:keepNext/>
              <w:spacing w:before="0" w:after="0"/>
              <w:rPr>
                <w:rFonts w:cs="Calibri Light"/>
                <w:color w:val="000000"/>
                <w:sz w:val="20"/>
                <w:szCs w:val="20"/>
              </w:rPr>
            </w:pPr>
            <w:r w:rsidRPr="00FD26F0">
              <w:rPr>
                <w:rFonts w:cs="Calibri Light"/>
                <w:color w:val="000000"/>
                <w:sz w:val="20"/>
                <w:szCs w:val="20"/>
              </w:rPr>
              <w:t>Res</w:t>
            </w:r>
          </w:p>
        </w:tc>
      </w:tr>
    </w:tbl>
    <w:p w14:paraId="73035A5C" w14:textId="2FDFC7B8" w:rsidR="001B426F" w:rsidRDefault="001B426F" w:rsidP="001B426F"/>
    <w:bookmarkEnd w:id="31"/>
    <w:bookmarkEnd w:id="32"/>
    <w:p w14:paraId="50711562" w14:textId="5D0894B2" w:rsidR="00AA46AF" w:rsidRDefault="00196649" w:rsidP="00154391">
      <w:pPr>
        <w:pStyle w:val="eTRMHeading5"/>
      </w:pPr>
      <w:r>
        <w:t>Eligible Products</w:t>
      </w:r>
    </w:p>
    <w:p w14:paraId="25880D23" w14:textId="77777777" w:rsidR="00FD26F0" w:rsidRDefault="00FD26F0" w:rsidP="00FD26F0">
      <w:r w:rsidRPr="002577E0">
        <w:t>The energy efficiency measure is applicable to existing multifamily residential buildings that have a centralized, gas-fired hot water boiler serving a combi system. Combined hydronic systems utilize one heat source that provides both space heating and domestic hot water</w:t>
      </w:r>
      <w:r>
        <w:t>.</w:t>
      </w:r>
    </w:p>
    <w:p w14:paraId="69F847C0" w14:textId="774A35ED" w:rsidR="0031777A" w:rsidRPr="002577E0" w:rsidRDefault="0035540E" w:rsidP="0031777A">
      <w:r w:rsidRPr="00797793">
        <w:rPr>
          <w:bCs/>
        </w:rPr>
        <w:t xml:space="preserve">The existing </w:t>
      </w:r>
      <w:r w:rsidR="00DE13C2" w:rsidRPr="00797793">
        <w:rPr>
          <w:bCs/>
        </w:rPr>
        <w:t xml:space="preserve">building </w:t>
      </w:r>
      <w:r w:rsidRPr="00797793">
        <w:rPr>
          <w:bCs/>
        </w:rPr>
        <w:t>must have been</w:t>
      </w:r>
      <w:r w:rsidR="0031777A" w:rsidRPr="00797793">
        <w:rPr>
          <w:bCs/>
        </w:rPr>
        <w:t xml:space="preserve"> </w:t>
      </w:r>
      <w:r w:rsidR="00DE13C2" w:rsidRPr="00797793">
        <w:rPr>
          <w:bCs/>
        </w:rPr>
        <w:t xml:space="preserve">built </w:t>
      </w:r>
      <w:r w:rsidR="0031777A" w:rsidRPr="00797793">
        <w:rPr>
          <w:bCs/>
        </w:rPr>
        <w:t xml:space="preserve">before the year 2005 </w:t>
      </w:r>
      <w:r w:rsidR="00F4070D" w:rsidRPr="00797793">
        <w:rPr>
          <w:bCs/>
        </w:rPr>
        <w:t>(requirement for hot water temperature reset control has been required by code since 2005, see Code Requirements</w:t>
      </w:r>
      <w:r w:rsidR="0031777A" w:rsidRPr="00797793">
        <w:t>).</w:t>
      </w:r>
      <w:r w:rsidR="0031777A" w:rsidRPr="002577E0">
        <w:t xml:space="preserve"> </w:t>
      </w:r>
    </w:p>
    <w:p w14:paraId="461AB7A2" w14:textId="2C71D1BD" w:rsidR="00FD26F0" w:rsidRDefault="00FD26F0" w:rsidP="00FD26F0">
      <w:r>
        <w:t xml:space="preserve">The controller must have the capability to provide hot water temperature modulation with outdoor temperature changes.    </w:t>
      </w:r>
    </w:p>
    <w:p w14:paraId="0A03AD87" w14:textId="3311E656" w:rsidR="00FD26F0" w:rsidRDefault="00FD26F0" w:rsidP="0031777A">
      <w:r>
        <w:t xml:space="preserve">The controller </w:t>
      </w:r>
      <w:r w:rsidR="0035540E">
        <w:t>must be</w:t>
      </w:r>
      <w:r>
        <w:t xml:space="preserve"> wired and programmed for burner sequencing (stage and rotate) up to two ON/OFF boilers, or a single two-stage boiler. </w:t>
      </w:r>
    </w:p>
    <w:p w14:paraId="4A24C831" w14:textId="77777777" w:rsidR="00FD26F0" w:rsidRDefault="00FD26F0" w:rsidP="0031777A">
      <w:r>
        <w:t>Run fewer stages for longer periods to avoid purging losses.</w:t>
      </w:r>
    </w:p>
    <w:p w14:paraId="3D4A4CC4" w14:textId="77777777" w:rsidR="003F5FDC" w:rsidRDefault="003F5FDC"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7AA25502" w14:textId="0C4BC454" w:rsidR="00571D95" w:rsidRDefault="009F1E20" w:rsidP="009F1E20">
      <w:pPr>
        <w:tabs>
          <w:tab w:val="left" w:pos="930"/>
        </w:tabs>
      </w:pPr>
      <w:r>
        <w:t xml:space="preserve">This measure is applicable for any existing </w:t>
      </w:r>
      <w:r w:rsidR="006F005E">
        <w:t>multifamily</w:t>
      </w:r>
      <w:r w:rsidR="00202FFF">
        <w:t xml:space="preserve"> </w:t>
      </w:r>
      <w:r>
        <w:t>building</w:t>
      </w:r>
      <w:r w:rsidR="00202FFF">
        <w:t>.</w:t>
      </w:r>
    </w:p>
    <w:p w14:paraId="2348A2F4" w14:textId="77777777" w:rsidR="009F1E20" w:rsidRPr="00571D95" w:rsidRDefault="009F1E20" w:rsidP="009F1E20">
      <w:pPr>
        <w:tabs>
          <w:tab w:val="left" w:pos="930"/>
        </w:tabs>
      </w:pPr>
    </w:p>
    <w:p w14:paraId="1A3705F3" w14:textId="4BC0985D" w:rsidR="007B6A74" w:rsidRPr="004B06E3" w:rsidRDefault="00196649" w:rsidP="00C7646E">
      <w:pPr>
        <w:pStyle w:val="eTRMHeading5"/>
        <w:keepNext/>
        <w:keepLines/>
      </w:pPr>
      <w:r>
        <w:t>Eligible Climate Zones</w:t>
      </w:r>
    </w:p>
    <w:p w14:paraId="4A9FD22A" w14:textId="0026FBEE" w:rsidR="004B6780" w:rsidRPr="006660BE" w:rsidRDefault="0018793D" w:rsidP="00C7646E">
      <w:pPr>
        <w:keepNext/>
        <w:keepLines/>
        <w:rPr>
          <w:rFonts w:cs="Calibri Light"/>
        </w:rPr>
      </w:pPr>
      <w:r>
        <w:rPr>
          <w:rFonts w:cs="Calibri Light"/>
        </w:rPr>
        <w:t>This measure is</w:t>
      </w:r>
      <w:r w:rsidR="006660BE" w:rsidRPr="009511FA">
        <w:rPr>
          <w:rFonts w:cs="Calibri Light"/>
        </w:rPr>
        <w:t xml:space="preserve"> </w:t>
      </w:r>
      <w:r w:rsidR="004B6780" w:rsidRPr="009511FA">
        <w:rPr>
          <w:rFonts w:cs="Calibri Light"/>
        </w:rPr>
        <w:t xml:space="preserve">applicable </w:t>
      </w:r>
      <w:r w:rsidR="009F1E20" w:rsidRPr="009511FA">
        <w:rPr>
          <w:rFonts w:cs="Calibri Light"/>
        </w:rPr>
        <w:t>in</w:t>
      </w:r>
      <w:r w:rsidR="004B6780" w:rsidRPr="009511FA">
        <w:rPr>
          <w:rFonts w:cs="Calibri Light"/>
        </w:rPr>
        <w:t xml:space="preserve"> </w:t>
      </w:r>
      <w:r w:rsidR="00BE7DE8" w:rsidRPr="009511FA">
        <w:rPr>
          <w:rFonts w:cs="Calibri Light"/>
        </w:rPr>
        <w:t>any</w:t>
      </w:r>
      <w:r w:rsidR="004B6780" w:rsidRPr="009511FA">
        <w:rPr>
          <w:rFonts w:cs="Calibri Light"/>
        </w:rPr>
        <w:t xml:space="preserve"> California climate zone.</w:t>
      </w:r>
      <w:r w:rsidR="006660BE" w:rsidRPr="009511FA">
        <w:rPr>
          <w:rFonts w:cs="Calibri Light"/>
        </w:rPr>
        <w:t xml:space="preserve"> </w:t>
      </w:r>
    </w:p>
    <w:p w14:paraId="34FF761D" w14:textId="77777777" w:rsidR="006C41AD" w:rsidRPr="004B06E3" w:rsidRDefault="006C41AD" w:rsidP="004B06E3"/>
    <w:p w14:paraId="47630D60" w14:textId="77777777" w:rsidR="007D230B" w:rsidRPr="004B06E3" w:rsidRDefault="007D230B" w:rsidP="00462BB6">
      <w:pPr>
        <w:pStyle w:val="eTRMHeading3"/>
      </w:pPr>
      <w:bookmarkStart w:id="35" w:name="_Toc486490853"/>
      <w:bookmarkStart w:id="36" w:name="_Toc486580924"/>
      <w:bookmarkStart w:id="37" w:name="_Toc11253774"/>
      <w:r w:rsidRPr="004B06E3">
        <w:t>Program Exclusions</w:t>
      </w:r>
      <w:bookmarkEnd w:id="35"/>
      <w:bookmarkEnd w:id="36"/>
      <w:bookmarkEnd w:id="37"/>
      <w:r w:rsidRPr="004B06E3">
        <w:t xml:space="preserve"> </w:t>
      </w:r>
    </w:p>
    <w:p w14:paraId="29F82538" w14:textId="549ACA0C" w:rsidR="00FD26F0" w:rsidRDefault="00FD26F0" w:rsidP="00FD26F0">
      <w:r>
        <w:t>A b</w:t>
      </w:r>
      <w:r w:rsidRPr="002577E0">
        <w:t xml:space="preserve">oiler with integrated reset controls </w:t>
      </w:r>
      <w:r>
        <w:t>is</w:t>
      </w:r>
      <w:r w:rsidRPr="002577E0">
        <w:t xml:space="preserve"> not eligible.</w:t>
      </w:r>
    </w:p>
    <w:p w14:paraId="695D2D41" w14:textId="7503B5A3" w:rsidR="0037004E" w:rsidRDefault="00273F3E" w:rsidP="0037004E">
      <w:r>
        <w:t>Buildings built</w:t>
      </w:r>
      <w:r w:rsidR="00710572">
        <w:t xml:space="preserve"> since</w:t>
      </w:r>
      <w:r>
        <w:t xml:space="preserve"> 2005 are not eligible</w:t>
      </w:r>
      <w:r w:rsidR="007C6F76">
        <w:t>.</w:t>
      </w:r>
    </w:p>
    <w:p w14:paraId="5145FF0E" w14:textId="77777777" w:rsidR="0037004E" w:rsidRPr="006F005E" w:rsidRDefault="0037004E" w:rsidP="00FD26F0"/>
    <w:p w14:paraId="76A9A64F" w14:textId="20F5B5B8" w:rsidR="007B6A74" w:rsidRPr="004B06E3" w:rsidRDefault="007B6A74" w:rsidP="004B06E3"/>
    <w:p w14:paraId="655E299F" w14:textId="77777777" w:rsidR="007D230B" w:rsidRPr="004B06E3" w:rsidRDefault="007D230B" w:rsidP="00462BB6">
      <w:pPr>
        <w:pStyle w:val="eTRMHeading3"/>
      </w:pPr>
      <w:bookmarkStart w:id="38" w:name="_Toc486490854"/>
      <w:bookmarkStart w:id="39" w:name="_Toc486580925"/>
      <w:bookmarkStart w:id="40" w:name="_Toc11253775"/>
      <w:r w:rsidRPr="004B06E3">
        <w:lastRenderedPageBreak/>
        <w:t>Data Collection Requirements</w:t>
      </w:r>
      <w:bookmarkEnd w:id="38"/>
      <w:bookmarkEnd w:id="39"/>
      <w:bookmarkEnd w:id="40"/>
      <w:r w:rsidRPr="004B06E3">
        <w:t xml:space="preserve"> </w:t>
      </w:r>
    </w:p>
    <w:p w14:paraId="54D72EAC" w14:textId="203E2DF9" w:rsidR="00D51DF7" w:rsidRDefault="004553DB" w:rsidP="004B06E3">
      <w:r>
        <w:t>Data collection requirements are to be determined.</w:t>
      </w:r>
    </w:p>
    <w:p w14:paraId="787A8ED5" w14:textId="77777777" w:rsidR="004553DB" w:rsidRPr="004B06E3" w:rsidRDefault="004553DB" w:rsidP="004B06E3"/>
    <w:p w14:paraId="4891FCAB" w14:textId="77777777" w:rsidR="007D230B" w:rsidRPr="004B06E3" w:rsidRDefault="007D230B" w:rsidP="00462BB6">
      <w:pPr>
        <w:pStyle w:val="eTRMHeading3"/>
      </w:pPr>
      <w:bookmarkStart w:id="41" w:name="_Toc486490855"/>
      <w:bookmarkStart w:id="42" w:name="_Toc486580926"/>
      <w:bookmarkStart w:id="43" w:name="_Toc11253776"/>
      <w:r w:rsidRPr="004B06E3">
        <w:t>Use Category</w:t>
      </w:r>
      <w:bookmarkEnd w:id="41"/>
      <w:bookmarkEnd w:id="42"/>
      <w:bookmarkEnd w:id="43"/>
    </w:p>
    <w:p w14:paraId="13382FF9" w14:textId="1D8BEE8D" w:rsidR="004142EF" w:rsidRDefault="005B6133" w:rsidP="004B06E3">
      <w:r>
        <w:t>Service &amp; Domestic Hot Water</w:t>
      </w:r>
    </w:p>
    <w:p w14:paraId="792DA4F2" w14:textId="77777777" w:rsidR="00CE354E" w:rsidRDefault="00CE354E" w:rsidP="004B06E3"/>
    <w:p w14:paraId="4B62D367" w14:textId="370A839E" w:rsidR="007D230B" w:rsidRPr="004B06E3" w:rsidRDefault="007D230B" w:rsidP="00462BB6">
      <w:pPr>
        <w:pStyle w:val="eTRMHeading3"/>
      </w:pPr>
      <w:bookmarkStart w:id="44" w:name="_Toc486490857"/>
      <w:bookmarkStart w:id="45" w:name="_Toc486580928"/>
      <w:bookmarkStart w:id="46" w:name="_Toc11253777"/>
      <w:r w:rsidRPr="004B06E3">
        <w:t>Electric Savings</w:t>
      </w:r>
      <w:r w:rsidR="00245AFF" w:rsidRPr="004B06E3">
        <w:t xml:space="preserve"> (</w:t>
      </w:r>
      <w:r w:rsidR="00E14349" w:rsidRPr="00FD26F0">
        <w:rPr>
          <w:caps w:val="0"/>
        </w:rPr>
        <w:t>k</w:t>
      </w:r>
      <w:r w:rsidR="00245AFF" w:rsidRPr="00FD26F0">
        <w:rPr>
          <w:caps w:val="0"/>
        </w:rPr>
        <w:t>Wh</w:t>
      </w:r>
      <w:r w:rsidR="00245AFF" w:rsidRPr="004B06E3">
        <w:t>)</w:t>
      </w:r>
      <w:bookmarkEnd w:id="44"/>
      <w:bookmarkEnd w:id="45"/>
      <w:bookmarkEnd w:id="46"/>
    </w:p>
    <w:p w14:paraId="19D5C0CF" w14:textId="77777777" w:rsidR="00CE354E" w:rsidRDefault="00CE354E" w:rsidP="00CE354E">
      <w:r>
        <w:t>Not applicable.</w:t>
      </w:r>
    </w:p>
    <w:p w14:paraId="38527D9F" w14:textId="77777777" w:rsidR="00CE354E" w:rsidRPr="00F83608" w:rsidRDefault="00CE354E" w:rsidP="00CE354E"/>
    <w:p w14:paraId="4FAA0DFC" w14:textId="29A046ED" w:rsidR="00CE354E" w:rsidRPr="00F83608" w:rsidRDefault="00CE354E" w:rsidP="00CE354E">
      <w:pPr>
        <w:pStyle w:val="eTRMHeading3"/>
      </w:pPr>
      <w:bookmarkStart w:id="47" w:name="_Toc5802339"/>
      <w:bookmarkStart w:id="48" w:name="_Toc11253778"/>
      <w:r w:rsidRPr="00F83608">
        <w:t>Peak Electric Demand Reduction (</w:t>
      </w:r>
      <w:r w:rsidR="00FD26F0" w:rsidRPr="00FD26F0">
        <w:rPr>
          <w:caps w:val="0"/>
        </w:rPr>
        <w:t>kW</w:t>
      </w:r>
      <w:r w:rsidRPr="00F83608">
        <w:t>)</w:t>
      </w:r>
      <w:bookmarkEnd w:id="47"/>
      <w:bookmarkEnd w:id="48"/>
    </w:p>
    <w:p w14:paraId="49E7527D" w14:textId="77777777" w:rsidR="00CE354E" w:rsidRPr="00F83608" w:rsidRDefault="00CE354E" w:rsidP="00CE354E">
      <w:r>
        <w:t>Not applicable.</w:t>
      </w:r>
    </w:p>
    <w:p w14:paraId="5E498DB8" w14:textId="77777777" w:rsidR="0054246D" w:rsidRDefault="0054246D" w:rsidP="0054246D">
      <w:bookmarkStart w:id="49" w:name="_Toc486490858"/>
      <w:bookmarkStart w:id="50" w:name="_Toc486580929"/>
    </w:p>
    <w:p w14:paraId="3D0884B7" w14:textId="49598E7B" w:rsidR="00D07D83" w:rsidRDefault="00177EB6" w:rsidP="001D6850">
      <w:pPr>
        <w:pStyle w:val="eTRMHeading3"/>
      </w:pPr>
      <w:bookmarkStart w:id="51" w:name="_Toc11253779"/>
      <w:r w:rsidRPr="004B06E3">
        <w:t>Gas Savings (</w:t>
      </w:r>
      <w:r w:rsidRPr="00FD26F0">
        <w:rPr>
          <w:caps w:val="0"/>
        </w:rPr>
        <w:t>Therms</w:t>
      </w:r>
      <w:r w:rsidRPr="004B06E3">
        <w:t>)</w:t>
      </w:r>
      <w:bookmarkEnd w:id="49"/>
      <w:bookmarkEnd w:id="50"/>
      <w:bookmarkEnd w:id="51"/>
    </w:p>
    <w:p w14:paraId="0BBBD8C2" w14:textId="3FC1DE0B" w:rsidR="0035540E" w:rsidRDefault="0035540E" w:rsidP="0035540E">
      <w:r>
        <w:t>The gas unit energy savings (UES) for this measure were derived from energy use simulations of the base case and measure case scenarios.</w:t>
      </w:r>
    </w:p>
    <w:p w14:paraId="4DEAB43E" w14:textId="17976AD7" w:rsidR="0035540E" w:rsidRDefault="00CE354E" w:rsidP="0018793D">
      <w:r>
        <w:t>OpenStudio</w:t>
      </w:r>
      <w:r w:rsidR="0018793D">
        <w:rPr>
          <w:rStyle w:val="FootnoteReference"/>
        </w:rPr>
        <w:footnoteReference w:id="5"/>
      </w:r>
      <w:r w:rsidR="0018793D">
        <w:t>,</w:t>
      </w:r>
      <w:r>
        <w:t xml:space="preserve"> which is based on EnergyPlus</w:t>
      </w:r>
      <w:r w:rsidR="0018793D">
        <w:rPr>
          <w:rStyle w:val="FootnoteReference"/>
        </w:rPr>
        <w:footnoteReference w:id="6"/>
      </w:r>
      <w:r w:rsidR="0018793D">
        <w:t>,</w:t>
      </w:r>
      <w:r>
        <w:t xml:space="preserve"> was used to </w:t>
      </w:r>
      <w:r w:rsidR="0035540E">
        <w:t>simulate</w:t>
      </w:r>
      <w:r>
        <w:t xml:space="preserve"> </w:t>
      </w:r>
      <w:r w:rsidR="0035540E">
        <w:t>the building energy use</w:t>
      </w:r>
      <w:r>
        <w:t xml:space="preserve">. </w:t>
      </w:r>
      <w:r w:rsidR="0035540E">
        <w:t xml:space="preserve">The Database for Energy Efficient Resources (DEER) batch processor, </w:t>
      </w:r>
      <w:r>
        <w:t>MASControl2</w:t>
      </w:r>
      <w:r w:rsidR="0018793D">
        <w:t>,</w:t>
      </w:r>
      <w:r>
        <w:t xml:space="preserve"> which is based on eQuest, </w:t>
      </w:r>
      <w:r w:rsidR="0035540E">
        <w:t>was</w:t>
      </w:r>
      <w:r>
        <w:t xml:space="preserve"> not used because eQuest does not support combination boilers with supply water outdoor air temperature reset. Instead, one MASControl2 model for one </w:t>
      </w:r>
      <w:r w:rsidR="0035540E">
        <w:t>c</w:t>
      </w:r>
      <w:r>
        <w:t xml:space="preserve">limate </w:t>
      </w:r>
      <w:r w:rsidR="0035540E">
        <w:t>z</w:t>
      </w:r>
      <w:r>
        <w:t xml:space="preserve">one (i.e., Climate Zone 9) was selected, exported, and used as a guideline </w:t>
      </w:r>
      <w:r w:rsidR="0035540E">
        <w:t>to create</w:t>
      </w:r>
      <w:r>
        <w:t xml:space="preserve"> the OpenStudio baseline model for that </w:t>
      </w:r>
      <w:r w:rsidR="0035540E">
        <w:t>climate zone</w:t>
      </w:r>
      <w:r>
        <w:t xml:space="preserve">. </w:t>
      </w:r>
    </w:p>
    <w:p w14:paraId="27F147AA" w14:textId="5AE82C75" w:rsidR="00CE354E" w:rsidRDefault="00CE354E" w:rsidP="0018793D">
      <w:r>
        <w:t>In addition, the DEER Water Heater Calculator</w:t>
      </w:r>
      <w:r w:rsidR="003F0784">
        <w:t xml:space="preserve"> v2.1</w:t>
      </w:r>
      <w:r w:rsidR="0018793D">
        <w:rPr>
          <w:rStyle w:val="FootnoteReference"/>
        </w:rPr>
        <w:footnoteReference w:id="7"/>
      </w:r>
      <w:r w:rsidR="0018793D">
        <w:t xml:space="preserve"> </w:t>
      </w:r>
      <w:r>
        <w:t>was used as a guideline for annual water heating gas usage and the DEER Thermostat spreadsheet</w:t>
      </w:r>
      <w:r w:rsidR="0018793D">
        <w:rPr>
          <w:rStyle w:val="FootnoteReference"/>
        </w:rPr>
        <w:footnoteReference w:id="8"/>
      </w:r>
      <w:r w:rsidR="0018793D">
        <w:t xml:space="preserve"> </w:t>
      </w:r>
      <w:r>
        <w:t>was used a</w:t>
      </w:r>
      <w:r w:rsidR="00E42E63">
        <w:t>s a</w:t>
      </w:r>
      <w:r>
        <w:t xml:space="preserve"> guideline for annual space heating gas usage. </w:t>
      </w:r>
    </w:p>
    <w:p w14:paraId="1A63DD20" w14:textId="208DBF59" w:rsidR="00CE354E" w:rsidRDefault="00CE354E" w:rsidP="00CE354E">
      <w:r>
        <w:lastRenderedPageBreak/>
        <w:t xml:space="preserve">Two other </w:t>
      </w:r>
      <w:r w:rsidR="0035540E">
        <w:t>c</w:t>
      </w:r>
      <w:r>
        <w:t xml:space="preserve">limate </w:t>
      </w:r>
      <w:r w:rsidR="0035540E">
        <w:t>z</w:t>
      </w:r>
      <w:r>
        <w:t>ones (6 and 16) were modeled in OpenStudio. A linear trendline of annual gas savings versus heating degree days at a 50</w:t>
      </w:r>
      <w:r w:rsidR="0035540E">
        <w:t xml:space="preserve"> </w:t>
      </w:r>
      <w:r>
        <w:t xml:space="preserve">°F basepoint for the three </w:t>
      </w:r>
      <w:r w:rsidR="0035540E">
        <w:t>climate zones</w:t>
      </w:r>
      <w:r>
        <w:t xml:space="preserve"> was used to estimate savings for the other </w:t>
      </w:r>
      <w:r w:rsidR="0035540E">
        <w:t>climate zones</w:t>
      </w:r>
      <w:r>
        <w:t>.</w:t>
      </w:r>
    </w:p>
    <w:p w14:paraId="6121C4BC" w14:textId="77777777" w:rsidR="00CE354E" w:rsidRDefault="00CE354E" w:rsidP="00CE354E">
      <w:r>
        <w:t xml:space="preserve">Note that there are a few significant differences between the energy modeling approach and the field study approach. First, the building characteristics (e.g., building size, gas demand) and heating plant characteristics (e.g., system efficiency, recirculation loop size, pump flow rate and control) are different. Second, only one full load burner stage at constant efficiency was implemented in the energy models, so potential savings from short cycling reduction or otherwise were not captured. </w:t>
      </w:r>
      <w:r w:rsidRPr="0035540E">
        <w:t>OpenStudio supports multiple distinct boiler stages and variable boiler efficiency based on part load ratio and/or return water temperature, but it is not straightforward to properly implement and savings from short cycling prevention are not modeled.</w:t>
      </w:r>
      <w:r>
        <w:t xml:space="preserve"> </w:t>
      </w:r>
    </w:p>
    <w:p w14:paraId="697C260E" w14:textId="05BA2148" w:rsidR="00717DEC" w:rsidRDefault="00CE354E" w:rsidP="00CE354E">
      <w:pPr>
        <w:rPr>
          <w:rFonts w:cs="Arial"/>
          <w:szCs w:val="22"/>
        </w:rPr>
      </w:pPr>
      <w:r>
        <w:t xml:space="preserve">The MASControl2 settings and some building characteristics are shown </w:t>
      </w:r>
      <w:r w:rsidR="0035540E">
        <w:t>below</w:t>
      </w:r>
      <w:r>
        <w:t xml:space="preserve">. Domestic hot water and space heating energy usage is not shown because the DEER Water Heating Calculator </w:t>
      </w:r>
      <w:r w:rsidR="0035540E">
        <w:t xml:space="preserve">v2.1 </w:t>
      </w:r>
      <w:r>
        <w:t>and the DEER Thermostat spreadsheet</w:t>
      </w:r>
      <w:r w:rsidR="0035540E">
        <w:rPr>
          <w:rStyle w:val="FootnoteReference"/>
        </w:rPr>
        <w:footnoteReference w:id="9"/>
      </w:r>
      <w:r>
        <w:t xml:space="preserve"> are more appropriate.</w:t>
      </w:r>
    </w:p>
    <w:p w14:paraId="3F2B0490" w14:textId="19A2CFD4" w:rsidR="00CE354E" w:rsidRPr="00920905" w:rsidRDefault="00CE354E" w:rsidP="00B809CE">
      <w:pPr>
        <w:pStyle w:val="Caption"/>
      </w:pPr>
      <w:bookmarkStart w:id="53" w:name="_Toc517096827"/>
      <w:r w:rsidRPr="006759AA">
        <w:t>MASControl2 Assumptions &amp; Results</w:t>
      </w:r>
      <w:bookmarkEnd w:id="53"/>
    </w:p>
    <w:tbl>
      <w:tblPr>
        <w:tblStyle w:val="TableGrid1"/>
        <w:tblW w:w="5000" w:type="pct"/>
        <w:tblLook w:val="01E0" w:firstRow="1" w:lastRow="1" w:firstColumn="1" w:lastColumn="1" w:noHBand="0" w:noVBand="0"/>
      </w:tblPr>
      <w:tblGrid>
        <w:gridCol w:w="3504"/>
        <w:gridCol w:w="5846"/>
      </w:tblGrid>
      <w:tr w:rsidR="00CE354E" w:rsidRPr="004B0F35" w14:paraId="4092AF3C" w14:textId="77777777" w:rsidTr="005E57D4">
        <w:trPr>
          <w:trHeight w:val="269"/>
        </w:trPr>
        <w:tc>
          <w:tcPr>
            <w:tcW w:w="1874" w:type="pct"/>
            <w:shd w:val="clear" w:color="auto" w:fill="D9D9D9" w:themeFill="background1" w:themeFillShade="D9"/>
          </w:tcPr>
          <w:p w14:paraId="18B83C0B" w14:textId="3BB82DBC" w:rsidR="00CE354E" w:rsidRPr="004B0F35" w:rsidRDefault="001D6850" w:rsidP="00667810">
            <w:pPr>
              <w:spacing w:before="0" w:after="0"/>
              <w:rPr>
                <w:rFonts w:cstheme="minorHAnsi"/>
                <w:b/>
                <w:sz w:val="20"/>
              </w:rPr>
            </w:pPr>
            <w:r w:rsidRPr="004B0F35">
              <w:rPr>
                <w:rFonts w:cstheme="minorHAnsi"/>
                <w:b/>
                <w:sz w:val="20"/>
              </w:rPr>
              <w:t>Item</w:t>
            </w:r>
          </w:p>
        </w:tc>
        <w:tc>
          <w:tcPr>
            <w:tcW w:w="3126" w:type="pct"/>
            <w:shd w:val="clear" w:color="auto" w:fill="D9D9D9" w:themeFill="background1" w:themeFillShade="D9"/>
          </w:tcPr>
          <w:p w14:paraId="6EE41F53" w14:textId="6D69D6BD" w:rsidR="00CE354E" w:rsidRPr="004B0F35" w:rsidRDefault="001D6850" w:rsidP="00667810">
            <w:pPr>
              <w:spacing w:before="0" w:after="0"/>
              <w:rPr>
                <w:rFonts w:cstheme="minorHAnsi"/>
                <w:b/>
                <w:sz w:val="20"/>
              </w:rPr>
            </w:pPr>
            <w:r w:rsidRPr="004B0F35">
              <w:rPr>
                <w:rFonts w:cstheme="minorHAnsi"/>
                <w:b/>
                <w:sz w:val="20"/>
              </w:rPr>
              <w:t>Value</w:t>
            </w:r>
          </w:p>
        </w:tc>
      </w:tr>
      <w:tr w:rsidR="00CE354E" w:rsidRPr="004B0F35" w14:paraId="17C5993A" w14:textId="77777777" w:rsidTr="001D6850">
        <w:tc>
          <w:tcPr>
            <w:tcW w:w="1874" w:type="pct"/>
          </w:tcPr>
          <w:p w14:paraId="565962D8" w14:textId="77777777" w:rsidR="00CE354E" w:rsidRPr="004B0F35" w:rsidRDefault="00CE354E" w:rsidP="00667810">
            <w:pPr>
              <w:spacing w:before="0" w:after="0"/>
              <w:rPr>
                <w:rFonts w:cstheme="minorHAnsi"/>
                <w:sz w:val="20"/>
              </w:rPr>
            </w:pPr>
            <w:r w:rsidRPr="004B0F35">
              <w:rPr>
                <w:sz w:val="20"/>
              </w:rPr>
              <w:t>Building Type</w:t>
            </w:r>
          </w:p>
        </w:tc>
        <w:tc>
          <w:tcPr>
            <w:tcW w:w="3126" w:type="pct"/>
          </w:tcPr>
          <w:p w14:paraId="3E31CE56" w14:textId="77777777" w:rsidR="00CE354E" w:rsidRPr="004B0F35" w:rsidRDefault="00CE354E" w:rsidP="00667810">
            <w:pPr>
              <w:spacing w:before="0" w:after="0"/>
              <w:rPr>
                <w:rFonts w:cstheme="minorHAnsi"/>
                <w:sz w:val="20"/>
              </w:rPr>
            </w:pPr>
            <w:r w:rsidRPr="004B0F35">
              <w:rPr>
                <w:sz w:val="20"/>
              </w:rPr>
              <w:t>Residential multi-family</w:t>
            </w:r>
          </w:p>
        </w:tc>
      </w:tr>
      <w:tr w:rsidR="00CE354E" w:rsidRPr="004B0F35" w14:paraId="6CB233A2" w14:textId="77777777" w:rsidTr="001D6850">
        <w:tc>
          <w:tcPr>
            <w:tcW w:w="1874" w:type="pct"/>
          </w:tcPr>
          <w:p w14:paraId="129413B3" w14:textId="77777777" w:rsidR="00CE354E" w:rsidRPr="004B0F35" w:rsidRDefault="00CE354E" w:rsidP="00667810">
            <w:pPr>
              <w:spacing w:before="0" w:after="0"/>
              <w:rPr>
                <w:rFonts w:cstheme="minorHAnsi"/>
                <w:sz w:val="20"/>
              </w:rPr>
            </w:pPr>
            <w:r w:rsidRPr="004B0F35">
              <w:rPr>
                <w:sz w:val="20"/>
              </w:rPr>
              <w:t>Climate Zone</w:t>
            </w:r>
          </w:p>
        </w:tc>
        <w:tc>
          <w:tcPr>
            <w:tcW w:w="3126" w:type="pct"/>
          </w:tcPr>
          <w:p w14:paraId="55C47465" w14:textId="77777777" w:rsidR="00CE354E" w:rsidRPr="004B0F35" w:rsidRDefault="00CE354E" w:rsidP="00667810">
            <w:pPr>
              <w:spacing w:before="0" w:after="0"/>
              <w:rPr>
                <w:rFonts w:cstheme="minorHAnsi"/>
                <w:sz w:val="20"/>
              </w:rPr>
            </w:pPr>
            <w:r w:rsidRPr="004B0F35">
              <w:rPr>
                <w:sz w:val="20"/>
              </w:rPr>
              <w:t>9</w:t>
            </w:r>
          </w:p>
        </w:tc>
      </w:tr>
      <w:tr w:rsidR="00CE354E" w:rsidRPr="004B0F35" w14:paraId="1830E1D6" w14:textId="77777777" w:rsidTr="001D6850">
        <w:tc>
          <w:tcPr>
            <w:tcW w:w="1874" w:type="pct"/>
          </w:tcPr>
          <w:p w14:paraId="0B73D21B" w14:textId="77777777" w:rsidR="00CE354E" w:rsidRPr="004B0F35" w:rsidRDefault="00CE354E" w:rsidP="00667810">
            <w:pPr>
              <w:spacing w:before="0" w:after="0"/>
              <w:rPr>
                <w:rFonts w:cstheme="minorHAnsi"/>
                <w:sz w:val="20"/>
              </w:rPr>
            </w:pPr>
            <w:r w:rsidRPr="004B0F35">
              <w:rPr>
                <w:sz w:val="20"/>
              </w:rPr>
              <w:t>Vintage</w:t>
            </w:r>
          </w:p>
        </w:tc>
        <w:tc>
          <w:tcPr>
            <w:tcW w:w="3126" w:type="pct"/>
          </w:tcPr>
          <w:p w14:paraId="754FF9D9" w14:textId="77777777" w:rsidR="00CE354E" w:rsidRPr="004B0F35" w:rsidRDefault="00CE354E" w:rsidP="00667810">
            <w:pPr>
              <w:spacing w:before="0" w:after="0"/>
              <w:rPr>
                <w:rFonts w:cstheme="minorHAnsi"/>
                <w:sz w:val="20"/>
              </w:rPr>
            </w:pPr>
            <w:r w:rsidRPr="004B0F35">
              <w:rPr>
                <w:sz w:val="20"/>
              </w:rPr>
              <w:t>2002-2005 (i.e., 2003)</w:t>
            </w:r>
          </w:p>
        </w:tc>
      </w:tr>
      <w:tr w:rsidR="00CE354E" w:rsidRPr="004B0F35" w14:paraId="6A9AF448" w14:textId="77777777" w:rsidTr="001D6850">
        <w:tc>
          <w:tcPr>
            <w:tcW w:w="1874" w:type="pct"/>
          </w:tcPr>
          <w:p w14:paraId="265486B7" w14:textId="77777777" w:rsidR="00CE354E" w:rsidRPr="004B0F35" w:rsidRDefault="00CE354E" w:rsidP="00667810">
            <w:pPr>
              <w:spacing w:before="0" w:after="0"/>
              <w:rPr>
                <w:rFonts w:cstheme="minorHAnsi"/>
                <w:sz w:val="20"/>
              </w:rPr>
            </w:pPr>
            <w:r w:rsidRPr="004B0F35">
              <w:rPr>
                <w:sz w:val="20"/>
              </w:rPr>
              <w:t>HVAC System(s)</w:t>
            </w:r>
          </w:p>
        </w:tc>
        <w:tc>
          <w:tcPr>
            <w:tcW w:w="3126" w:type="pct"/>
          </w:tcPr>
          <w:p w14:paraId="13C0E842" w14:textId="77777777" w:rsidR="00CE354E" w:rsidRPr="004B0F35" w:rsidRDefault="00CE354E" w:rsidP="00667810">
            <w:pPr>
              <w:spacing w:before="0" w:after="0"/>
              <w:rPr>
                <w:rFonts w:cstheme="minorHAnsi"/>
                <w:sz w:val="20"/>
              </w:rPr>
            </w:pPr>
            <w:r w:rsidRPr="004B0F35">
              <w:rPr>
                <w:sz w:val="20"/>
              </w:rPr>
              <w:t>“rDXGF” (i.e., packaged units with compressor and gas furnace)</w:t>
            </w:r>
          </w:p>
        </w:tc>
      </w:tr>
      <w:tr w:rsidR="00CE354E" w:rsidRPr="004B0F35" w14:paraId="1B41513D" w14:textId="77777777" w:rsidTr="001D6850">
        <w:tc>
          <w:tcPr>
            <w:tcW w:w="1874" w:type="pct"/>
          </w:tcPr>
          <w:p w14:paraId="559A52DC" w14:textId="77777777" w:rsidR="00CE354E" w:rsidRPr="004B0F35" w:rsidRDefault="00CE354E" w:rsidP="00667810">
            <w:pPr>
              <w:spacing w:before="0" w:after="0"/>
              <w:rPr>
                <w:rFonts w:cstheme="minorHAnsi"/>
                <w:sz w:val="20"/>
              </w:rPr>
            </w:pPr>
            <w:r w:rsidRPr="004B0F35">
              <w:rPr>
                <w:sz w:val="20"/>
              </w:rPr>
              <w:t>Case(s)</w:t>
            </w:r>
          </w:p>
        </w:tc>
        <w:tc>
          <w:tcPr>
            <w:tcW w:w="3126" w:type="pct"/>
          </w:tcPr>
          <w:p w14:paraId="1C69A08F" w14:textId="77777777" w:rsidR="00CE354E" w:rsidRPr="004B0F35" w:rsidRDefault="00CE354E" w:rsidP="00667810">
            <w:pPr>
              <w:spacing w:before="0" w:after="0"/>
              <w:rPr>
                <w:rFonts w:cstheme="minorHAnsi"/>
                <w:sz w:val="20"/>
              </w:rPr>
            </w:pPr>
            <w:r w:rsidRPr="004B0F35">
              <w:rPr>
                <w:sz w:val="20"/>
              </w:rPr>
              <w:t>Pre-existing</w:t>
            </w:r>
          </w:p>
        </w:tc>
      </w:tr>
      <w:tr w:rsidR="00CE354E" w:rsidRPr="004B0F35" w14:paraId="1A4DC584" w14:textId="77777777" w:rsidTr="001D6850">
        <w:tc>
          <w:tcPr>
            <w:tcW w:w="1874" w:type="pct"/>
          </w:tcPr>
          <w:p w14:paraId="33D648FC" w14:textId="77777777" w:rsidR="00CE354E" w:rsidRPr="004B0F35" w:rsidRDefault="00CE354E" w:rsidP="00667810">
            <w:pPr>
              <w:spacing w:before="0" w:after="0"/>
              <w:rPr>
                <w:rFonts w:cstheme="minorHAnsi"/>
                <w:sz w:val="20"/>
              </w:rPr>
            </w:pPr>
            <w:r w:rsidRPr="004B0F35">
              <w:rPr>
                <w:sz w:val="20"/>
              </w:rPr>
              <w:t>Thermostat Index</w:t>
            </w:r>
          </w:p>
        </w:tc>
        <w:tc>
          <w:tcPr>
            <w:tcW w:w="3126" w:type="pct"/>
          </w:tcPr>
          <w:p w14:paraId="3EBAAB63" w14:textId="77777777" w:rsidR="00CE354E" w:rsidRPr="004B0F35" w:rsidRDefault="00CE354E" w:rsidP="00667810">
            <w:pPr>
              <w:spacing w:before="0" w:after="0"/>
              <w:rPr>
                <w:rFonts w:cstheme="minorHAnsi"/>
                <w:sz w:val="20"/>
              </w:rPr>
            </w:pPr>
            <w:r w:rsidRPr="004B0F35">
              <w:rPr>
                <w:sz w:val="20"/>
              </w:rPr>
              <w:t>3</w:t>
            </w:r>
          </w:p>
        </w:tc>
      </w:tr>
      <w:tr w:rsidR="00CE354E" w:rsidRPr="004B0F35" w14:paraId="26165C7C" w14:textId="77777777" w:rsidTr="001D6850">
        <w:tc>
          <w:tcPr>
            <w:tcW w:w="1874" w:type="pct"/>
          </w:tcPr>
          <w:p w14:paraId="349F168C" w14:textId="77777777" w:rsidR="00CE354E" w:rsidRPr="004B0F35" w:rsidRDefault="00CE354E" w:rsidP="00667810">
            <w:pPr>
              <w:spacing w:before="0" w:after="0"/>
              <w:rPr>
                <w:sz w:val="20"/>
              </w:rPr>
            </w:pPr>
            <w:r w:rsidRPr="004B0F35">
              <w:rPr>
                <w:sz w:val="20"/>
              </w:rPr>
              <w:t>Residential Unit Quantity and Floor Area</w:t>
            </w:r>
          </w:p>
        </w:tc>
        <w:tc>
          <w:tcPr>
            <w:tcW w:w="3126" w:type="pct"/>
          </w:tcPr>
          <w:p w14:paraId="5630B82C" w14:textId="77777777" w:rsidR="00CE354E" w:rsidRPr="004B0F35" w:rsidRDefault="00CE354E" w:rsidP="00667810">
            <w:pPr>
              <w:spacing w:before="0" w:after="0"/>
              <w:rPr>
                <w:sz w:val="20"/>
              </w:rPr>
            </w:pPr>
            <w:r w:rsidRPr="004B0F35">
              <w:rPr>
                <w:sz w:val="20"/>
              </w:rPr>
              <w:t>12 residential units; 1,000 square feet each</w:t>
            </w:r>
          </w:p>
        </w:tc>
      </w:tr>
      <w:tr w:rsidR="00CE354E" w:rsidRPr="004B0F35" w14:paraId="706C8735" w14:textId="77777777" w:rsidTr="001D6850">
        <w:tc>
          <w:tcPr>
            <w:tcW w:w="1874" w:type="pct"/>
          </w:tcPr>
          <w:p w14:paraId="42E6B51F" w14:textId="77777777" w:rsidR="00CE354E" w:rsidRPr="004B0F35" w:rsidRDefault="00CE354E" w:rsidP="00667810">
            <w:pPr>
              <w:spacing w:before="0" w:after="0"/>
              <w:rPr>
                <w:sz w:val="20"/>
              </w:rPr>
            </w:pPr>
            <w:r w:rsidRPr="004B0F35">
              <w:rPr>
                <w:sz w:val="20"/>
              </w:rPr>
              <w:t>Total floor area</w:t>
            </w:r>
          </w:p>
        </w:tc>
        <w:tc>
          <w:tcPr>
            <w:tcW w:w="3126" w:type="pct"/>
          </w:tcPr>
          <w:p w14:paraId="27BF4952" w14:textId="77777777" w:rsidR="00CE354E" w:rsidRPr="004B0F35" w:rsidRDefault="00CE354E" w:rsidP="00667810">
            <w:pPr>
              <w:spacing w:before="0" w:after="0"/>
              <w:rPr>
                <w:sz w:val="20"/>
              </w:rPr>
            </w:pPr>
            <w:r w:rsidRPr="004B0F35">
              <w:rPr>
                <w:sz w:val="20"/>
              </w:rPr>
              <w:t>13,518 square feet (12,000 conditioned, 1,518 unconditioned)</w:t>
            </w:r>
          </w:p>
        </w:tc>
      </w:tr>
      <w:tr w:rsidR="00CE354E" w:rsidRPr="004B0F35" w14:paraId="35C99450" w14:textId="77777777" w:rsidTr="001D6850">
        <w:tc>
          <w:tcPr>
            <w:tcW w:w="1874" w:type="pct"/>
          </w:tcPr>
          <w:p w14:paraId="0E8BF3D8" w14:textId="77777777" w:rsidR="00CE354E" w:rsidRPr="004B0F35" w:rsidRDefault="00CE354E" w:rsidP="00667810">
            <w:pPr>
              <w:spacing w:before="0" w:after="0"/>
              <w:rPr>
                <w:sz w:val="20"/>
              </w:rPr>
            </w:pPr>
            <w:r w:rsidRPr="004B0F35">
              <w:rPr>
                <w:sz w:val="20"/>
              </w:rPr>
              <w:t>Water heater type</w:t>
            </w:r>
          </w:p>
        </w:tc>
        <w:tc>
          <w:tcPr>
            <w:tcW w:w="3126" w:type="pct"/>
          </w:tcPr>
          <w:p w14:paraId="2A16550D" w14:textId="77777777" w:rsidR="00CE354E" w:rsidRPr="004B0F35" w:rsidRDefault="00CE354E" w:rsidP="00667810">
            <w:pPr>
              <w:spacing w:before="0" w:after="0"/>
              <w:rPr>
                <w:sz w:val="20"/>
              </w:rPr>
            </w:pPr>
            <w:r w:rsidRPr="004B0F35">
              <w:rPr>
                <w:sz w:val="20"/>
              </w:rPr>
              <w:t>Individual gas-fired storage water heaters</w:t>
            </w:r>
          </w:p>
        </w:tc>
      </w:tr>
    </w:tbl>
    <w:p w14:paraId="290CA0A8" w14:textId="77777777" w:rsidR="00FD217E" w:rsidRDefault="00FD217E" w:rsidP="00CE354E"/>
    <w:p w14:paraId="1A0FBDC9" w14:textId="0F1B7CB3" w:rsidR="00CE354E" w:rsidRDefault="00CE354E" w:rsidP="00CE354E">
      <w:pPr>
        <w:rPr>
          <w:rFonts w:cstheme="minorHAnsi"/>
          <w:szCs w:val="22"/>
        </w:rPr>
      </w:pPr>
      <w:r>
        <w:t>The DEER Water Heater Calculator</w:t>
      </w:r>
      <w:r w:rsidR="003F0784">
        <w:t>v2.1</w:t>
      </w:r>
      <w:r>
        <w:t xml:space="preserve"> assumptions and results are shown below. Note that the calculator reports hot water usage at 135</w:t>
      </w:r>
      <w:r w:rsidR="0018793D">
        <w:t xml:space="preserve"> </w:t>
      </w:r>
      <w:r>
        <w:t>°F, even though residential fixtures can be satisfied with a mixed water temperature of 115</w:t>
      </w:r>
      <w:r w:rsidR="0018793D">
        <w:t xml:space="preserve"> </w:t>
      </w:r>
      <w:r>
        <w:t xml:space="preserve">°F. OpenStudio supports specification of draw schedules at mixed water temperatures and flow rates, so an appropriate calculation was performed. Note also that the recovery efficiency here is lower than the efficiency of the boiler in the OpenStudio models, and the boiler is assumed to not have a standing pilot light. </w:t>
      </w:r>
    </w:p>
    <w:p w14:paraId="68F08B14" w14:textId="4A4D7C35" w:rsidR="00CE354E" w:rsidRPr="00920905" w:rsidRDefault="00CE354E" w:rsidP="00B809CE">
      <w:pPr>
        <w:pStyle w:val="Caption"/>
      </w:pPr>
      <w:bookmarkStart w:id="54" w:name="_Toc517096828"/>
      <w:r w:rsidRPr="006759AA">
        <w:t>DEER Water Heater Calculator</w:t>
      </w:r>
      <w:r w:rsidR="003F0784">
        <w:t xml:space="preserve"> v2.1</w:t>
      </w:r>
      <w:r w:rsidRPr="006759AA">
        <w:t xml:space="preserve"> Assumptions &amp; Results</w:t>
      </w:r>
      <w:bookmarkEnd w:id="54"/>
      <w:r w:rsidDel="006759AA">
        <w:t xml:space="preserve"> </w:t>
      </w:r>
    </w:p>
    <w:tbl>
      <w:tblPr>
        <w:tblStyle w:val="TableGrid1"/>
        <w:tblW w:w="5000" w:type="pct"/>
        <w:tblLook w:val="01E0" w:firstRow="1" w:lastRow="1" w:firstColumn="1" w:lastColumn="1" w:noHBand="0" w:noVBand="0"/>
      </w:tblPr>
      <w:tblGrid>
        <w:gridCol w:w="4675"/>
        <w:gridCol w:w="4675"/>
      </w:tblGrid>
      <w:tr w:rsidR="00CE354E" w:rsidRPr="00500C4E" w14:paraId="2F090755" w14:textId="77777777" w:rsidTr="00CE354E">
        <w:trPr>
          <w:trHeight w:val="389"/>
        </w:trPr>
        <w:tc>
          <w:tcPr>
            <w:tcW w:w="2500" w:type="pct"/>
            <w:shd w:val="clear" w:color="auto" w:fill="D9D9D9" w:themeFill="background1" w:themeFillShade="D9"/>
          </w:tcPr>
          <w:p w14:paraId="6F146DE8" w14:textId="77777777" w:rsidR="00CE354E" w:rsidRPr="004B0F35" w:rsidRDefault="00CE354E" w:rsidP="00667810">
            <w:pPr>
              <w:spacing w:before="0" w:after="0"/>
              <w:rPr>
                <w:rFonts w:cstheme="minorHAnsi"/>
                <w:b/>
                <w:sz w:val="20"/>
                <w:highlight w:val="yellow"/>
              </w:rPr>
            </w:pPr>
            <w:r w:rsidRPr="004B0F35">
              <w:rPr>
                <w:rFonts w:cstheme="minorHAnsi"/>
                <w:b/>
                <w:sz w:val="20"/>
              </w:rPr>
              <w:t>Item</w:t>
            </w:r>
          </w:p>
        </w:tc>
        <w:tc>
          <w:tcPr>
            <w:tcW w:w="2500" w:type="pct"/>
            <w:shd w:val="clear" w:color="auto" w:fill="D9D9D9" w:themeFill="background1" w:themeFillShade="D9"/>
          </w:tcPr>
          <w:p w14:paraId="7DC94FD8" w14:textId="77777777" w:rsidR="00CE354E" w:rsidRPr="004B0F35" w:rsidRDefault="00CE354E" w:rsidP="00667810">
            <w:pPr>
              <w:spacing w:before="0" w:after="0"/>
              <w:rPr>
                <w:rFonts w:cstheme="minorHAnsi"/>
                <w:b/>
                <w:sz w:val="20"/>
              </w:rPr>
            </w:pPr>
            <w:r w:rsidRPr="004B0F35">
              <w:rPr>
                <w:rFonts w:cstheme="minorHAnsi"/>
                <w:b/>
                <w:sz w:val="20"/>
              </w:rPr>
              <w:t>Value</w:t>
            </w:r>
          </w:p>
        </w:tc>
      </w:tr>
      <w:tr w:rsidR="00CE354E" w:rsidRPr="00500C4E" w14:paraId="4FA42FA2" w14:textId="77777777" w:rsidTr="00CE354E">
        <w:tc>
          <w:tcPr>
            <w:tcW w:w="2500" w:type="pct"/>
          </w:tcPr>
          <w:p w14:paraId="48F02767" w14:textId="77777777" w:rsidR="00CE354E" w:rsidRPr="004B0F35" w:rsidRDefault="00CE354E" w:rsidP="00667810">
            <w:pPr>
              <w:spacing w:before="0" w:after="0"/>
              <w:rPr>
                <w:rFonts w:cstheme="minorHAnsi"/>
                <w:sz w:val="20"/>
              </w:rPr>
            </w:pPr>
            <w:r w:rsidRPr="004B0F35">
              <w:rPr>
                <w:sz w:val="20"/>
              </w:rPr>
              <w:t>Building Type</w:t>
            </w:r>
          </w:p>
        </w:tc>
        <w:tc>
          <w:tcPr>
            <w:tcW w:w="2500" w:type="pct"/>
          </w:tcPr>
          <w:p w14:paraId="40246785" w14:textId="77777777" w:rsidR="00CE354E" w:rsidRPr="004B0F35" w:rsidRDefault="00CE354E" w:rsidP="00667810">
            <w:pPr>
              <w:spacing w:before="0" w:after="0"/>
              <w:rPr>
                <w:rFonts w:cstheme="minorHAnsi"/>
                <w:sz w:val="20"/>
              </w:rPr>
            </w:pPr>
            <w:r w:rsidRPr="004B0F35">
              <w:rPr>
                <w:sz w:val="20"/>
              </w:rPr>
              <w:t>Residential multi-family</w:t>
            </w:r>
          </w:p>
        </w:tc>
      </w:tr>
      <w:tr w:rsidR="00CE354E" w:rsidRPr="00500C4E" w14:paraId="1B4EC1DB" w14:textId="77777777" w:rsidTr="00CE354E">
        <w:tc>
          <w:tcPr>
            <w:tcW w:w="2500" w:type="pct"/>
          </w:tcPr>
          <w:p w14:paraId="68C43D47" w14:textId="77777777" w:rsidR="00CE354E" w:rsidRPr="004B0F35" w:rsidRDefault="00CE354E" w:rsidP="00667810">
            <w:pPr>
              <w:spacing w:before="0" w:after="0"/>
              <w:rPr>
                <w:rFonts w:cstheme="minorHAnsi"/>
                <w:sz w:val="20"/>
              </w:rPr>
            </w:pPr>
            <w:r w:rsidRPr="004B0F35">
              <w:rPr>
                <w:sz w:val="20"/>
              </w:rPr>
              <w:t>Climate Zone</w:t>
            </w:r>
          </w:p>
        </w:tc>
        <w:tc>
          <w:tcPr>
            <w:tcW w:w="2500" w:type="pct"/>
          </w:tcPr>
          <w:p w14:paraId="4B6FCE6B" w14:textId="77777777" w:rsidR="00CE354E" w:rsidRPr="004B0F35" w:rsidRDefault="00CE354E" w:rsidP="00667810">
            <w:pPr>
              <w:spacing w:before="0" w:after="0"/>
              <w:rPr>
                <w:rFonts w:cstheme="minorHAnsi"/>
                <w:sz w:val="20"/>
              </w:rPr>
            </w:pPr>
            <w:r w:rsidRPr="004B0F35">
              <w:rPr>
                <w:sz w:val="20"/>
              </w:rPr>
              <w:t>9</w:t>
            </w:r>
          </w:p>
        </w:tc>
      </w:tr>
      <w:tr w:rsidR="00CE354E" w:rsidRPr="00500C4E" w14:paraId="37653FE5" w14:textId="77777777" w:rsidTr="00CE354E">
        <w:tc>
          <w:tcPr>
            <w:tcW w:w="2500" w:type="pct"/>
          </w:tcPr>
          <w:p w14:paraId="376FA003" w14:textId="77777777" w:rsidR="00CE354E" w:rsidRPr="004B0F35" w:rsidRDefault="00CE354E" w:rsidP="00667810">
            <w:pPr>
              <w:spacing w:before="0" w:after="0"/>
              <w:rPr>
                <w:rFonts w:cstheme="minorHAnsi"/>
                <w:sz w:val="20"/>
              </w:rPr>
            </w:pPr>
            <w:r w:rsidRPr="004B0F35">
              <w:rPr>
                <w:sz w:val="20"/>
              </w:rPr>
              <w:t>Water heater type</w:t>
            </w:r>
          </w:p>
        </w:tc>
        <w:tc>
          <w:tcPr>
            <w:tcW w:w="2500" w:type="pct"/>
          </w:tcPr>
          <w:p w14:paraId="505A686F" w14:textId="77777777" w:rsidR="00CE354E" w:rsidRPr="004B0F35" w:rsidRDefault="00CE354E" w:rsidP="00667810">
            <w:pPr>
              <w:spacing w:before="0" w:after="0"/>
              <w:rPr>
                <w:rFonts w:cstheme="minorHAnsi"/>
                <w:sz w:val="20"/>
              </w:rPr>
            </w:pPr>
            <w:r w:rsidRPr="004B0F35">
              <w:rPr>
                <w:sz w:val="20"/>
              </w:rPr>
              <w:t>Gas-fired storage, 30 gallons, 0.59 EF</w:t>
            </w:r>
          </w:p>
        </w:tc>
      </w:tr>
      <w:tr w:rsidR="00CE354E" w:rsidRPr="00500C4E" w14:paraId="730884DC" w14:textId="77777777" w:rsidTr="00CE354E">
        <w:tc>
          <w:tcPr>
            <w:tcW w:w="2500" w:type="pct"/>
          </w:tcPr>
          <w:p w14:paraId="4250F84D" w14:textId="77777777" w:rsidR="00CE354E" w:rsidRPr="004B0F35" w:rsidRDefault="00CE354E" w:rsidP="00667810">
            <w:pPr>
              <w:spacing w:before="0" w:after="0"/>
              <w:rPr>
                <w:rFonts w:cstheme="minorHAnsi"/>
                <w:sz w:val="20"/>
              </w:rPr>
            </w:pPr>
            <w:r w:rsidRPr="004B0F35">
              <w:rPr>
                <w:sz w:val="20"/>
              </w:rPr>
              <w:t>Water heater capacity</w:t>
            </w:r>
          </w:p>
        </w:tc>
        <w:tc>
          <w:tcPr>
            <w:tcW w:w="2500" w:type="pct"/>
          </w:tcPr>
          <w:p w14:paraId="37528015" w14:textId="77777777" w:rsidR="00CE354E" w:rsidRPr="004B0F35" w:rsidRDefault="00CE354E" w:rsidP="00667810">
            <w:pPr>
              <w:spacing w:before="0" w:after="0"/>
              <w:rPr>
                <w:rFonts w:cstheme="minorHAnsi"/>
                <w:sz w:val="20"/>
              </w:rPr>
            </w:pPr>
            <w:r w:rsidRPr="004B0F35">
              <w:rPr>
                <w:sz w:val="20"/>
              </w:rPr>
              <w:t>30,000 Btu/hr</w:t>
            </w:r>
          </w:p>
        </w:tc>
      </w:tr>
      <w:tr w:rsidR="00CE354E" w:rsidRPr="00500C4E" w14:paraId="5651C749" w14:textId="77777777" w:rsidTr="00CE354E">
        <w:tc>
          <w:tcPr>
            <w:tcW w:w="2500" w:type="pct"/>
          </w:tcPr>
          <w:p w14:paraId="28DDE6F5" w14:textId="77777777" w:rsidR="00CE354E" w:rsidRPr="004B0F35" w:rsidRDefault="00CE354E" w:rsidP="00667810">
            <w:pPr>
              <w:spacing w:before="0" w:after="0"/>
              <w:rPr>
                <w:rFonts w:cstheme="minorHAnsi"/>
                <w:sz w:val="20"/>
              </w:rPr>
            </w:pPr>
            <w:r w:rsidRPr="004B0F35">
              <w:rPr>
                <w:sz w:val="20"/>
              </w:rPr>
              <w:lastRenderedPageBreak/>
              <w:t>Water heater recovery efficiency</w:t>
            </w:r>
          </w:p>
        </w:tc>
        <w:tc>
          <w:tcPr>
            <w:tcW w:w="2500" w:type="pct"/>
          </w:tcPr>
          <w:p w14:paraId="63F2025E" w14:textId="77777777" w:rsidR="00CE354E" w:rsidRPr="004B0F35" w:rsidRDefault="00CE354E" w:rsidP="00667810">
            <w:pPr>
              <w:spacing w:before="0" w:after="0"/>
              <w:rPr>
                <w:rFonts w:cstheme="minorHAnsi"/>
                <w:sz w:val="20"/>
              </w:rPr>
            </w:pPr>
            <w:r w:rsidRPr="004B0F35">
              <w:rPr>
                <w:sz w:val="20"/>
              </w:rPr>
              <w:t>0.758</w:t>
            </w:r>
          </w:p>
        </w:tc>
      </w:tr>
      <w:tr w:rsidR="00CE354E" w:rsidRPr="00500C4E" w14:paraId="53A8B4D3" w14:textId="77777777" w:rsidTr="00CE354E">
        <w:tc>
          <w:tcPr>
            <w:tcW w:w="2500" w:type="pct"/>
          </w:tcPr>
          <w:p w14:paraId="1A570E05" w14:textId="77777777" w:rsidR="00CE354E" w:rsidRPr="004B0F35" w:rsidRDefault="00CE354E" w:rsidP="00667810">
            <w:pPr>
              <w:spacing w:before="0" w:after="0"/>
              <w:rPr>
                <w:rFonts w:cstheme="minorHAnsi"/>
                <w:sz w:val="20"/>
              </w:rPr>
            </w:pPr>
            <w:r w:rsidRPr="004B0F35">
              <w:rPr>
                <w:sz w:val="20"/>
              </w:rPr>
              <w:t>Water heater tank UA</w:t>
            </w:r>
          </w:p>
        </w:tc>
        <w:tc>
          <w:tcPr>
            <w:tcW w:w="2500" w:type="pct"/>
          </w:tcPr>
          <w:p w14:paraId="18C188C5" w14:textId="77777777" w:rsidR="00CE354E" w:rsidRPr="004B0F35" w:rsidRDefault="00CE354E" w:rsidP="00667810">
            <w:pPr>
              <w:spacing w:before="0" w:after="0"/>
              <w:rPr>
                <w:rFonts w:cstheme="minorHAnsi"/>
                <w:sz w:val="20"/>
              </w:rPr>
            </w:pPr>
            <w:r w:rsidRPr="004B0F35">
              <w:rPr>
                <w:sz w:val="20"/>
              </w:rPr>
              <w:t>7.996 Btu/hr-°F</w:t>
            </w:r>
          </w:p>
        </w:tc>
      </w:tr>
      <w:tr w:rsidR="00CE354E" w:rsidRPr="00500C4E" w14:paraId="5D0CAE58" w14:textId="77777777" w:rsidTr="00CE354E">
        <w:tc>
          <w:tcPr>
            <w:tcW w:w="2500" w:type="pct"/>
          </w:tcPr>
          <w:p w14:paraId="0A2DD288" w14:textId="77777777" w:rsidR="00CE354E" w:rsidRPr="004B0F35" w:rsidRDefault="00CE354E" w:rsidP="00667810">
            <w:pPr>
              <w:spacing w:before="0" w:after="0"/>
              <w:rPr>
                <w:sz w:val="20"/>
              </w:rPr>
            </w:pPr>
            <w:r w:rsidRPr="004B0F35">
              <w:rPr>
                <w:sz w:val="20"/>
              </w:rPr>
              <w:t>Water heater auxiliary (i.e., standing pilot light) Btu/hr</w:t>
            </w:r>
          </w:p>
        </w:tc>
        <w:tc>
          <w:tcPr>
            <w:tcW w:w="2500" w:type="pct"/>
          </w:tcPr>
          <w:p w14:paraId="1AF250A6" w14:textId="77777777" w:rsidR="00CE354E" w:rsidRPr="004B0F35" w:rsidRDefault="00CE354E" w:rsidP="00667810">
            <w:pPr>
              <w:spacing w:before="0" w:after="0"/>
              <w:rPr>
                <w:sz w:val="20"/>
              </w:rPr>
            </w:pPr>
            <w:r w:rsidRPr="004B0F35">
              <w:rPr>
                <w:sz w:val="20"/>
              </w:rPr>
              <w:t>350 Btu/hr</w:t>
            </w:r>
          </w:p>
        </w:tc>
      </w:tr>
      <w:tr w:rsidR="00CE354E" w:rsidRPr="00500C4E" w14:paraId="3640DB19" w14:textId="77777777" w:rsidTr="00CE354E">
        <w:tc>
          <w:tcPr>
            <w:tcW w:w="2500" w:type="pct"/>
          </w:tcPr>
          <w:p w14:paraId="4A894F18" w14:textId="77777777" w:rsidR="00CE354E" w:rsidRPr="004B0F35" w:rsidRDefault="00CE354E" w:rsidP="00667810">
            <w:pPr>
              <w:spacing w:before="0" w:after="0"/>
              <w:rPr>
                <w:sz w:val="20"/>
              </w:rPr>
            </w:pPr>
            <w:r w:rsidRPr="004B0F35">
              <w:rPr>
                <w:sz w:val="20"/>
              </w:rPr>
              <w:t>Water heater auxiliary efficiency</w:t>
            </w:r>
          </w:p>
        </w:tc>
        <w:tc>
          <w:tcPr>
            <w:tcW w:w="2500" w:type="pct"/>
          </w:tcPr>
          <w:p w14:paraId="10AC1F7E" w14:textId="77777777" w:rsidR="00CE354E" w:rsidRPr="004B0F35" w:rsidRDefault="00CE354E" w:rsidP="00667810">
            <w:pPr>
              <w:spacing w:before="0" w:after="0"/>
              <w:rPr>
                <w:sz w:val="20"/>
              </w:rPr>
            </w:pPr>
            <w:r w:rsidRPr="004B0F35">
              <w:rPr>
                <w:sz w:val="20"/>
              </w:rPr>
              <w:t>0.67</w:t>
            </w:r>
          </w:p>
        </w:tc>
      </w:tr>
      <w:tr w:rsidR="00CE354E" w:rsidRPr="00500C4E" w14:paraId="48775CA1" w14:textId="77777777" w:rsidTr="00CE354E">
        <w:tc>
          <w:tcPr>
            <w:tcW w:w="2500" w:type="pct"/>
          </w:tcPr>
          <w:p w14:paraId="71221C01" w14:textId="77777777" w:rsidR="00CE354E" w:rsidRPr="004B0F35" w:rsidRDefault="00CE354E" w:rsidP="00667810">
            <w:pPr>
              <w:spacing w:before="0" w:after="0"/>
              <w:rPr>
                <w:sz w:val="20"/>
              </w:rPr>
            </w:pPr>
            <w:r w:rsidRPr="004B0F35">
              <w:rPr>
                <w:sz w:val="20"/>
              </w:rPr>
              <w:t>Water heater location</w:t>
            </w:r>
          </w:p>
        </w:tc>
        <w:tc>
          <w:tcPr>
            <w:tcW w:w="2500" w:type="pct"/>
          </w:tcPr>
          <w:p w14:paraId="44994EF8" w14:textId="77777777" w:rsidR="00CE354E" w:rsidRPr="004B0F35" w:rsidRDefault="00CE354E" w:rsidP="00667810">
            <w:pPr>
              <w:spacing w:before="0" w:after="0"/>
              <w:rPr>
                <w:sz w:val="20"/>
              </w:rPr>
            </w:pPr>
            <w:r w:rsidRPr="004B0F35">
              <w:rPr>
                <w:sz w:val="20"/>
              </w:rPr>
              <w:t>Garage</w:t>
            </w:r>
          </w:p>
        </w:tc>
      </w:tr>
      <w:tr w:rsidR="00CE354E" w:rsidRPr="00500C4E" w14:paraId="497CFC91" w14:textId="77777777" w:rsidTr="00CE354E">
        <w:tc>
          <w:tcPr>
            <w:tcW w:w="2500" w:type="pct"/>
          </w:tcPr>
          <w:p w14:paraId="262972D8" w14:textId="77777777" w:rsidR="00CE354E" w:rsidRPr="004B0F35" w:rsidRDefault="00CE354E" w:rsidP="00667810">
            <w:pPr>
              <w:spacing w:before="0" w:after="0"/>
              <w:rPr>
                <w:b/>
                <w:sz w:val="20"/>
              </w:rPr>
            </w:pPr>
            <w:r w:rsidRPr="004B0F35">
              <w:rPr>
                <w:b/>
                <w:sz w:val="20"/>
              </w:rPr>
              <w:t>Domestic hot water usage [water]</w:t>
            </w:r>
          </w:p>
        </w:tc>
        <w:tc>
          <w:tcPr>
            <w:tcW w:w="2500" w:type="pct"/>
          </w:tcPr>
          <w:p w14:paraId="1F278098" w14:textId="77777777" w:rsidR="00CE354E" w:rsidRPr="004B0F35" w:rsidRDefault="00CE354E" w:rsidP="00667810">
            <w:pPr>
              <w:spacing w:before="0" w:after="0"/>
              <w:rPr>
                <w:b/>
                <w:sz w:val="20"/>
              </w:rPr>
            </w:pPr>
            <w:r w:rsidRPr="004B0F35">
              <w:rPr>
                <w:b/>
                <w:sz w:val="20"/>
              </w:rPr>
              <w:t>37.6 gallons/residential unit/day of 135°F hot water</w:t>
            </w:r>
          </w:p>
        </w:tc>
      </w:tr>
      <w:tr w:rsidR="00CE354E" w:rsidRPr="00500C4E" w14:paraId="34A30626" w14:textId="77777777" w:rsidTr="00CE354E">
        <w:tc>
          <w:tcPr>
            <w:tcW w:w="2500" w:type="pct"/>
          </w:tcPr>
          <w:p w14:paraId="5AF22D1A" w14:textId="77777777" w:rsidR="00CE354E" w:rsidRPr="004B0F35" w:rsidRDefault="00CE354E" w:rsidP="00667810">
            <w:pPr>
              <w:spacing w:before="0" w:after="0"/>
              <w:rPr>
                <w:b/>
                <w:sz w:val="20"/>
              </w:rPr>
            </w:pPr>
            <w:r w:rsidRPr="004B0F35">
              <w:rPr>
                <w:b/>
                <w:sz w:val="20"/>
              </w:rPr>
              <w:t>Domestic hot water usage [gas]</w:t>
            </w:r>
          </w:p>
        </w:tc>
        <w:tc>
          <w:tcPr>
            <w:tcW w:w="2500" w:type="pct"/>
          </w:tcPr>
          <w:p w14:paraId="17B923E7" w14:textId="77777777" w:rsidR="00CE354E" w:rsidRPr="004B0F35" w:rsidRDefault="00CE354E" w:rsidP="00667810">
            <w:pPr>
              <w:spacing w:before="0" w:after="0"/>
              <w:rPr>
                <w:b/>
                <w:sz w:val="20"/>
              </w:rPr>
            </w:pPr>
            <w:r w:rsidRPr="004B0F35">
              <w:rPr>
                <w:b/>
                <w:sz w:val="20"/>
              </w:rPr>
              <w:t>164.8 therms/residential unit/yr (105.8 excluding tank heat loss and standing pilot light)</w:t>
            </w:r>
          </w:p>
        </w:tc>
      </w:tr>
    </w:tbl>
    <w:p w14:paraId="6D2FA03E" w14:textId="77777777" w:rsidR="00CE354E" w:rsidRDefault="00CE354E" w:rsidP="00CE354E">
      <w:pPr>
        <w:rPr>
          <w:rFonts w:cstheme="minorHAnsi"/>
          <w:szCs w:val="22"/>
        </w:rPr>
      </w:pPr>
    </w:p>
    <w:p w14:paraId="0038E792" w14:textId="081B80A9" w:rsidR="00CE354E" w:rsidRDefault="00CE354E" w:rsidP="00CE354E">
      <w:pPr>
        <w:rPr>
          <w:rFonts w:cstheme="minorHAnsi"/>
          <w:szCs w:val="22"/>
        </w:rPr>
      </w:pPr>
      <w:r>
        <w:rPr>
          <w:rFonts w:cstheme="minorHAnsi"/>
          <w:szCs w:val="22"/>
        </w:rPr>
        <w:t xml:space="preserve">The DEER Thermostat spreadsheet assumptions and results are shown in the table below. The five thermostat schedules in the spreadsheet were weighted using the weights in the spreadsheet, which </w:t>
      </w:r>
      <w:r w:rsidR="003F0784">
        <w:rPr>
          <w:rFonts w:cstheme="minorHAnsi"/>
          <w:szCs w:val="22"/>
        </w:rPr>
        <w:t>resulted</w:t>
      </w:r>
      <w:r>
        <w:rPr>
          <w:rFonts w:cstheme="minorHAnsi"/>
          <w:szCs w:val="22"/>
        </w:rPr>
        <w:t xml:space="preserve"> </w:t>
      </w:r>
      <w:r w:rsidR="003F0784">
        <w:rPr>
          <w:rFonts w:cstheme="minorHAnsi"/>
          <w:szCs w:val="22"/>
        </w:rPr>
        <w:t xml:space="preserve">in an approximate </w:t>
      </w:r>
      <w:r>
        <w:rPr>
          <w:rFonts w:cstheme="minorHAnsi"/>
          <w:szCs w:val="22"/>
        </w:rPr>
        <w:t>heating setpoint of 73</w:t>
      </w:r>
      <w:r w:rsidR="0018793D">
        <w:rPr>
          <w:rFonts w:cstheme="minorHAnsi"/>
          <w:szCs w:val="22"/>
        </w:rPr>
        <w:t xml:space="preserve"> </w:t>
      </w:r>
      <w:r>
        <w:rPr>
          <w:rFonts w:cstheme="minorHAnsi"/>
          <w:szCs w:val="22"/>
        </w:rPr>
        <w:t>°F.</w:t>
      </w:r>
    </w:p>
    <w:p w14:paraId="22186EF5" w14:textId="0E4C8A2E" w:rsidR="00CE354E" w:rsidRPr="007E13B7" w:rsidRDefault="00CE354E" w:rsidP="00B809CE">
      <w:pPr>
        <w:pStyle w:val="Caption"/>
        <w:rPr>
          <w:rFonts w:cstheme="minorHAnsi"/>
        </w:rPr>
      </w:pPr>
      <w:bookmarkStart w:id="55" w:name="_Toc517096829"/>
      <w:r w:rsidRPr="006759AA">
        <w:t xml:space="preserve">DEER Thermostat </w:t>
      </w:r>
      <w:r w:rsidR="003F0784">
        <w:t>S</w:t>
      </w:r>
      <w:r w:rsidRPr="006759AA">
        <w:t>preadsheet</w:t>
      </w:r>
      <w:bookmarkEnd w:id="55"/>
    </w:p>
    <w:tbl>
      <w:tblPr>
        <w:tblStyle w:val="TableGrid1"/>
        <w:tblW w:w="5000" w:type="pct"/>
        <w:tblLook w:val="01E0" w:firstRow="1" w:lastRow="1" w:firstColumn="1" w:lastColumn="1" w:noHBand="0" w:noVBand="0"/>
      </w:tblPr>
      <w:tblGrid>
        <w:gridCol w:w="3686"/>
        <w:gridCol w:w="5664"/>
      </w:tblGrid>
      <w:tr w:rsidR="00CE354E" w:rsidRPr="004B0F35" w14:paraId="1759838A" w14:textId="77777777" w:rsidTr="00CE354E">
        <w:trPr>
          <w:trHeight w:val="389"/>
        </w:trPr>
        <w:tc>
          <w:tcPr>
            <w:tcW w:w="1971" w:type="pct"/>
            <w:shd w:val="clear" w:color="auto" w:fill="D9D9D9" w:themeFill="background1" w:themeFillShade="D9"/>
          </w:tcPr>
          <w:p w14:paraId="1E657936" w14:textId="77777777" w:rsidR="00CE354E" w:rsidRPr="004B0F35" w:rsidRDefault="00CE354E" w:rsidP="00667810">
            <w:pPr>
              <w:spacing w:before="0" w:after="0"/>
              <w:rPr>
                <w:rFonts w:cstheme="minorHAnsi"/>
                <w:b/>
                <w:sz w:val="20"/>
                <w:highlight w:val="yellow"/>
              </w:rPr>
            </w:pPr>
            <w:r w:rsidRPr="004B0F35">
              <w:rPr>
                <w:rFonts w:cstheme="minorHAnsi"/>
                <w:b/>
                <w:sz w:val="20"/>
              </w:rPr>
              <w:t>Item</w:t>
            </w:r>
          </w:p>
        </w:tc>
        <w:tc>
          <w:tcPr>
            <w:tcW w:w="3029" w:type="pct"/>
            <w:shd w:val="clear" w:color="auto" w:fill="D9D9D9" w:themeFill="background1" w:themeFillShade="D9"/>
          </w:tcPr>
          <w:p w14:paraId="35E7C411" w14:textId="77777777" w:rsidR="00CE354E" w:rsidRPr="004B0F35" w:rsidRDefault="00CE354E" w:rsidP="00667810">
            <w:pPr>
              <w:spacing w:before="0" w:after="0"/>
              <w:rPr>
                <w:rFonts w:cstheme="minorHAnsi"/>
                <w:b/>
                <w:sz w:val="20"/>
              </w:rPr>
            </w:pPr>
            <w:r w:rsidRPr="004B0F35">
              <w:rPr>
                <w:rFonts w:cstheme="minorHAnsi"/>
                <w:b/>
                <w:sz w:val="20"/>
              </w:rPr>
              <w:t>Value</w:t>
            </w:r>
          </w:p>
        </w:tc>
      </w:tr>
      <w:tr w:rsidR="00CE354E" w:rsidRPr="004B0F35" w14:paraId="3879244D" w14:textId="77777777" w:rsidTr="00CE354E">
        <w:tc>
          <w:tcPr>
            <w:tcW w:w="1971" w:type="pct"/>
          </w:tcPr>
          <w:p w14:paraId="1B764544" w14:textId="77777777" w:rsidR="00CE354E" w:rsidRPr="004B0F35" w:rsidRDefault="00CE354E" w:rsidP="00667810">
            <w:pPr>
              <w:spacing w:before="0" w:after="0"/>
              <w:rPr>
                <w:rFonts w:cstheme="minorHAnsi"/>
                <w:sz w:val="20"/>
              </w:rPr>
            </w:pPr>
            <w:r w:rsidRPr="004B0F35">
              <w:rPr>
                <w:sz w:val="20"/>
              </w:rPr>
              <w:t>Building Type</w:t>
            </w:r>
          </w:p>
        </w:tc>
        <w:tc>
          <w:tcPr>
            <w:tcW w:w="3029" w:type="pct"/>
          </w:tcPr>
          <w:p w14:paraId="234C12C7" w14:textId="77777777" w:rsidR="00CE354E" w:rsidRPr="004B0F35" w:rsidRDefault="00CE354E" w:rsidP="00667810">
            <w:pPr>
              <w:spacing w:before="0" w:after="0"/>
              <w:rPr>
                <w:rFonts w:cstheme="minorHAnsi"/>
                <w:sz w:val="20"/>
              </w:rPr>
            </w:pPr>
            <w:r w:rsidRPr="004B0F35">
              <w:rPr>
                <w:sz w:val="20"/>
              </w:rPr>
              <w:t>Residential multi-family</w:t>
            </w:r>
          </w:p>
        </w:tc>
      </w:tr>
      <w:tr w:rsidR="00CE354E" w:rsidRPr="004B0F35" w14:paraId="47E94A01" w14:textId="77777777" w:rsidTr="00CE354E">
        <w:tc>
          <w:tcPr>
            <w:tcW w:w="1971" w:type="pct"/>
          </w:tcPr>
          <w:p w14:paraId="1A7266CE" w14:textId="77777777" w:rsidR="00CE354E" w:rsidRPr="004B0F35" w:rsidRDefault="00CE354E" w:rsidP="00667810">
            <w:pPr>
              <w:spacing w:before="0" w:after="0"/>
              <w:rPr>
                <w:rFonts w:cstheme="minorHAnsi"/>
                <w:sz w:val="20"/>
              </w:rPr>
            </w:pPr>
            <w:r w:rsidRPr="004B0F35">
              <w:rPr>
                <w:sz w:val="20"/>
              </w:rPr>
              <w:t>Climate Zone</w:t>
            </w:r>
          </w:p>
        </w:tc>
        <w:tc>
          <w:tcPr>
            <w:tcW w:w="3029" w:type="pct"/>
          </w:tcPr>
          <w:p w14:paraId="31DEB598" w14:textId="77777777" w:rsidR="00CE354E" w:rsidRPr="004B0F35" w:rsidRDefault="00CE354E" w:rsidP="00667810">
            <w:pPr>
              <w:spacing w:before="0" w:after="0"/>
              <w:rPr>
                <w:rFonts w:cstheme="minorHAnsi"/>
                <w:sz w:val="20"/>
              </w:rPr>
            </w:pPr>
            <w:r w:rsidRPr="004B0F35">
              <w:rPr>
                <w:sz w:val="20"/>
              </w:rPr>
              <w:t>9</w:t>
            </w:r>
          </w:p>
        </w:tc>
      </w:tr>
      <w:tr w:rsidR="00CE354E" w:rsidRPr="004B0F35" w14:paraId="76044CCD" w14:textId="77777777" w:rsidTr="00CE354E">
        <w:tc>
          <w:tcPr>
            <w:tcW w:w="1971" w:type="pct"/>
          </w:tcPr>
          <w:p w14:paraId="5BC8F4A2" w14:textId="77777777" w:rsidR="00CE354E" w:rsidRPr="004B0F35" w:rsidRDefault="00CE354E" w:rsidP="00667810">
            <w:pPr>
              <w:spacing w:before="0" w:after="0"/>
              <w:rPr>
                <w:rFonts w:cstheme="minorHAnsi"/>
                <w:sz w:val="20"/>
              </w:rPr>
            </w:pPr>
            <w:r w:rsidRPr="004B0F35">
              <w:rPr>
                <w:sz w:val="20"/>
              </w:rPr>
              <w:t>Vintage</w:t>
            </w:r>
          </w:p>
        </w:tc>
        <w:tc>
          <w:tcPr>
            <w:tcW w:w="3029" w:type="pct"/>
          </w:tcPr>
          <w:p w14:paraId="475DD6C0" w14:textId="77777777" w:rsidR="00CE354E" w:rsidRPr="004B0F35" w:rsidRDefault="00CE354E" w:rsidP="00667810">
            <w:pPr>
              <w:spacing w:before="0" w:after="0"/>
              <w:rPr>
                <w:rFonts w:cstheme="minorHAnsi"/>
                <w:sz w:val="20"/>
              </w:rPr>
            </w:pPr>
            <w:r w:rsidRPr="004B0F35">
              <w:rPr>
                <w:rFonts w:cstheme="minorHAnsi"/>
                <w:sz w:val="20"/>
              </w:rPr>
              <w:t>2003</w:t>
            </w:r>
          </w:p>
        </w:tc>
      </w:tr>
      <w:tr w:rsidR="00CE354E" w:rsidRPr="004B0F35" w14:paraId="621599DF" w14:textId="77777777" w:rsidTr="00CE354E">
        <w:tc>
          <w:tcPr>
            <w:tcW w:w="1971" w:type="pct"/>
          </w:tcPr>
          <w:p w14:paraId="1E035880" w14:textId="77777777" w:rsidR="00CE354E" w:rsidRPr="004B0F35" w:rsidRDefault="00CE354E" w:rsidP="00667810">
            <w:pPr>
              <w:spacing w:before="0" w:after="0"/>
              <w:rPr>
                <w:rFonts w:cstheme="minorHAnsi"/>
                <w:sz w:val="20"/>
              </w:rPr>
            </w:pPr>
            <w:r w:rsidRPr="004B0F35">
              <w:rPr>
                <w:sz w:val="20"/>
              </w:rPr>
              <w:t>HVAC System(s)</w:t>
            </w:r>
          </w:p>
        </w:tc>
        <w:tc>
          <w:tcPr>
            <w:tcW w:w="3029" w:type="pct"/>
          </w:tcPr>
          <w:p w14:paraId="0166DC14" w14:textId="77777777" w:rsidR="00CE354E" w:rsidRPr="004B0F35" w:rsidRDefault="00CE354E" w:rsidP="00667810">
            <w:pPr>
              <w:spacing w:before="0" w:after="0"/>
              <w:rPr>
                <w:rFonts w:cstheme="minorHAnsi"/>
                <w:sz w:val="20"/>
              </w:rPr>
            </w:pPr>
            <w:r w:rsidRPr="004B0F35">
              <w:rPr>
                <w:sz w:val="20"/>
              </w:rPr>
              <w:t>“rDXGF” (i.e., packaged units with compressor and gas furnace)</w:t>
            </w:r>
          </w:p>
        </w:tc>
      </w:tr>
      <w:tr w:rsidR="00CE354E" w:rsidRPr="004B0F35" w14:paraId="0E8F346C" w14:textId="77777777" w:rsidTr="00CE354E">
        <w:tc>
          <w:tcPr>
            <w:tcW w:w="1971" w:type="pct"/>
          </w:tcPr>
          <w:p w14:paraId="71BCD91A" w14:textId="77777777" w:rsidR="00CE354E" w:rsidRPr="004B0F35" w:rsidRDefault="00CE354E" w:rsidP="00667810">
            <w:pPr>
              <w:spacing w:before="0" w:after="0"/>
              <w:rPr>
                <w:sz w:val="20"/>
              </w:rPr>
            </w:pPr>
            <w:r w:rsidRPr="004B0F35">
              <w:rPr>
                <w:sz w:val="20"/>
              </w:rPr>
              <w:t>Average Thermostat Heating Setpoint</w:t>
            </w:r>
          </w:p>
        </w:tc>
        <w:tc>
          <w:tcPr>
            <w:tcW w:w="3029" w:type="pct"/>
          </w:tcPr>
          <w:p w14:paraId="74E19E9F" w14:textId="77777777" w:rsidR="00CE354E" w:rsidRPr="004B0F35" w:rsidRDefault="00CE354E" w:rsidP="00667810">
            <w:pPr>
              <w:spacing w:before="0" w:after="0"/>
              <w:rPr>
                <w:sz w:val="20"/>
              </w:rPr>
            </w:pPr>
            <w:r w:rsidRPr="004B0F35">
              <w:rPr>
                <w:sz w:val="20"/>
              </w:rPr>
              <w:t>~73°F (after weighting the five thermostat schedules)</w:t>
            </w:r>
          </w:p>
        </w:tc>
      </w:tr>
      <w:tr w:rsidR="00CE354E" w:rsidRPr="004B0F35" w14:paraId="590E904F" w14:textId="77777777" w:rsidTr="00CE354E">
        <w:tc>
          <w:tcPr>
            <w:tcW w:w="1971" w:type="pct"/>
          </w:tcPr>
          <w:p w14:paraId="26DAD40D" w14:textId="77777777" w:rsidR="00CE354E" w:rsidRPr="004B0F35" w:rsidRDefault="00CE354E" w:rsidP="00667810">
            <w:pPr>
              <w:spacing w:before="0" w:after="0"/>
              <w:rPr>
                <w:b/>
                <w:sz w:val="20"/>
              </w:rPr>
            </w:pPr>
            <w:r w:rsidRPr="004B0F35">
              <w:rPr>
                <w:b/>
                <w:sz w:val="20"/>
              </w:rPr>
              <w:t>Space heating gas usage</w:t>
            </w:r>
          </w:p>
        </w:tc>
        <w:tc>
          <w:tcPr>
            <w:tcW w:w="3029" w:type="pct"/>
          </w:tcPr>
          <w:p w14:paraId="3405AEC5" w14:textId="77777777" w:rsidR="00CE354E" w:rsidRPr="004B0F35" w:rsidRDefault="00CE354E" w:rsidP="00667810">
            <w:pPr>
              <w:spacing w:before="0" w:after="0"/>
              <w:rPr>
                <w:b/>
                <w:sz w:val="20"/>
              </w:rPr>
            </w:pPr>
            <w:r w:rsidRPr="004B0F35">
              <w:rPr>
                <w:b/>
                <w:sz w:val="20"/>
              </w:rPr>
              <w:t>56.4 therms/residential unit/yr</w:t>
            </w:r>
          </w:p>
        </w:tc>
      </w:tr>
    </w:tbl>
    <w:p w14:paraId="1EC31140" w14:textId="77777777" w:rsidR="00CE354E" w:rsidRDefault="00CE354E" w:rsidP="00CE354E">
      <w:pPr>
        <w:rPr>
          <w:rFonts w:cstheme="minorHAnsi"/>
          <w:szCs w:val="22"/>
        </w:rPr>
      </w:pPr>
    </w:p>
    <w:p w14:paraId="12699E49" w14:textId="77777777" w:rsidR="003F0784" w:rsidRDefault="00CE354E" w:rsidP="00CE354E">
      <w:pPr>
        <w:rPr>
          <w:rFonts w:eastAsiaTheme="minorHAnsi"/>
        </w:rPr>
      </w:pPr>
      <w:r>
        <w:rPr>
          <w:rFonts w:eastAsiaTheme="minorHAnsi"/>
        </w:rPr>
        <w:t xml:space="preserve">Since there is no automated tool to convert eQuest model files to OpenStudio or EnergyPlus files, the “Create DOE Prototype Building” measure within </w:t>
      </w:r>
      <w:r w:rsidR="003F0784">
        <w:rPr>
          <w:rFonts w:eastAsiaTheme="minorHAnsi"/>
        </w:rPr>
        <w:t xml:space="preserve">the </w:t>
      </w:r>
      <w:r>
        <w:rPr>
          <w:rFonts w:eastAsiaTheme="minorHAnsi"/>
        </w:rPr>
        <w:t xml:space="preserve">OpenStudio Building Component Library was used to create the first OpenStudio model. “MidriseApartment” was selected as the building type, ASHRAE 90.1-2007 was selected as the energy code, and “ASHRAE 169-2006-3B” was selected as the climate zone. The building geometry, materials, water heating systems, and HVAC systems were then manually modified to match the properties of the MASControl2 eQuest model and the energy usage in the DEER spreadsheets. The Climate Zone file was upgraded to the latest California version. </w:t>
      </w:r>
    </w:p>
    <w:p w14:paraId="3C7982F7" w14:textId="5DFCF72A" w:rsidR="00CE354E" w:rsidRDefault="00CE354E" w:rsidP="00CE354E">
      <w:pPr>
        <w:rPr>
          <w:rFonts w:eastAsiaTheme="minorHAnsi"/>
        </w:rPr>
      </w:pPr>
      <w:r>
        <w:rPr>
          <w:rFonts w:eastAsiaTheme="minorHAnsi"/>
        </w:rPr>
        <w:t>See below for screenshots of the building geometry and heating system, and a table showing the major assumptions.</w:t>
      </w:r>
      <w:r w:rsidR="003F0784">
        <w:rPr>
          <w:rStyle w:val="FootnoteReference"/>
          <w:rFonts w:eastAsiaTheme="minorHAnsi"/>
        </w:rPr>
        <w:footnoteReference w:id="10"/>
      </w:r>
      <w:r>
        <w:rPr>
          <w:rFonts w:eastAsiaTheme="minorHAnsi"/>
        </w:rPr>
        <w:t xml:space="preserve"> </w:t>
      </w:r>
    </w:p>
    <w:p w14:paraId="36CFC624" w14:textId="6B3A5BFB" w:rsidR="00CE354E" w:rsidRPr="00920905" w:rsidRDefault="00CE354E" w:rsidP="00B809CE">
      <w:pPr>
        <w:pStyle w:val="Caption"/>
      </w:pPr>
      <w:r w:rsidRPr="00F1493B">
        <w:t>OpenStudio Model Assumptions</w:t>
      </w:r>
    </w:p>
    <w:tbl>
      <w:tblPr>
        <w:tblStyle w:val="TableGrid1"/>
        <w:tblW w:w="5000" w:type="pct"/>
        <w:tblLook w:val="01E0" w:firstRow="1" w:lastRow="1" w:firstColumn="1" w:lastColumn="1" w:noHBand="0" w:noVBand="0"/>
      </w:tblPr>
      <w:tblGrid>
        <w:gridCol w:w="3235"/>
        <w:gridCol w:w="6115"/>
      </w:tblGrid>
      <w:tr w:rsidR="00CE354E" w:rsidRPr="004B0F35" w14:paraId="07CBB35D" w14:textId="77777777" w:rsidTr="003F0784">
        <w:trPr>
          <w:trHeight w:val="389"/>
          <w:tblHeader/>
        </w:trPr>
        <w:tc>
          <w:tcPr>
            <w:tcW w:w="1730" w:type="pct"/>
            <w:shd w:val="clear" w:color="auto" w:fill="D9D9D9" w:themeFill="background1" w:themeFillShade="D9"/>
            <w:vAlign w:val="bottom"/>
          </w:tcPr>
          <w:p w14:paraId="5BF1190F" w14:textId="77777777" w:rsidR="00CE354E" w:rsidRPr="004B0F35" w:rsidRDefault="00CE354E" w:rsidP="003F0784">
            <w:pPr>
              <w:spacing w:before="0" w:after="0"/>
              <w:jc w:val="center"/>
              <w:rPr>
                <w:rFonts w:cstheme="minorHAnsi"/>
                <w:b/>
                <w:sz w:val="20"/>
                <w:highlight w:val="yellow"/>
              </w:rPr>
            </w:pPr>
            <w:r w:rsidRPr="004B0F35">
              <w:rPr>
                <w:rFonts w:cstheme="minorHAnsi"/>
                <w:b/>
                <w:sz w:val="20"/>
              </w:rPr>
              <w:t>Item</w:t>
            </w:r>
          </w:p>
        </w:tc>
        <w:tc>
          <w:tcPr>
            <w:tcW w:w="3270" w:type="pct"/>
            <w:shd w:val="clear" w:color="auto" w:fill="D9D9D9" w:themeFill="background1" w:themeFillShade="D9"/>
            <w:vAlign w:val="bottom"/>
          </w:tcPr>
          <w:p w14:paraId="4B5B4750" w14:textId="77777777" w:rsidR="00CE354E" w:rsidRPr="004B0F35" w:rsidRDefault="00CE354E" w:rsidP="003F0784">
            <w:pPr>
              <w:spacing w:before="0" w:after="0"/>
              <w:jc w:val="center"/>
              <w:rPr>
                <w:rFonts w:cstheme="minorHAnsi"/>
                <w:b/>
                <w:sz w:val="20"/>
              </w:rPr>
            </w:pPr>
            <w:r w:rsidRPr="004B0F35">
              <w:rPr>
                <w:rFonts w:cstheme="minorHAnsi"/>
                <w:b/>
                <w:sz w:val="20"/>
              </w:rPr>
              <w:t>Value</w:t>
            </w:r>
          </w:p>
        </w:tc>
      </w:tr>
      <w:tr w:rsidR="00CE354E" w:rsidRPr="004B0F35" w14:paraId="076DD5B0" w14:textId="77777777" w:rsidTr="00CE354E">
        <w:tc>
          <w:tcPr>
            <w:tcW w:w="1730" w:type="pct"/>
          </w:tcPr>
          <w:p w14:paraId="4C7B7257" w14:textId="77777777" w:rsidR="00CE354E" w:rsidRPr="004B0F35" w:rsidRDefault="00CE354E" w:rsidP="00667810">
            <w:pPr>
              <w:spacing w:before="0" w:after="0"/>
              <w:rPr>
                <w:rFonts w:cstheme="minorHAnsi"/>
                <w:sz w:val="20"/>
              </w:rPr>
            </w:pPr>
            <w:r w:rsidRPr="004B0F35">
              <w:rPr>
                <w:sz w:val="20"/>
              </w:rPr>
              <w:t>Building Type</w:t>
            </w:r>
          </w:p>
        </w:tc>
        <w:tc>
          <w:tcPr>
            <w:tcW w:w="3270" w:type="pct"/>
          </w:tcPr>
          <w:p w14:paraId="36DE40EF" w14:textId="77777777" w:rsidR="00CE354E" w:rsidRPr="004B0F35" w:rsidRDefault="00CE354E" w:rsidP="00667810">
            <w:pPr>
              <w:spacing w:before="0" w:after="0"/>
              <w:rPr>
                <w:rFonts w:cstheme="minorHAnsi"/>
                <w:sz w:val="20"/>
              </w:rPr>
            </w:pPr>
            <w:r w:rsidRPr="004B0F35">
              <w:rPr>
                <w:sz w:val="20"/>
              </w:rPr>
              <w:t>Residential multi-family</w:t>
            </w:r>
          </w:p>
        </w:tc>
      </w:tr>
      <w:tr w:rsidR="00CE354E" w:rsidRPr="004B0F35" w14:paraId="214DE826" w14:textId="77777777" w:rsidTr="00CE354E">
        <w:tc>
          <w:tcPr>
            <w:tcW w:w="1730" w:type="pct"/>
          </w:tcPr>
          <w:p w14:paraId="1BAB71A5" w14:textId="77777777" w:rsidR="00CE354E" w:rsidRPr="004B0F35" w:rsidRDefault="00CE354E" w:rsidP="00667810">
            <w:pPr>
              <w:spacing w:before="0" w:after="0"/>
              <w:rPr>
                <w:rFonts w:cstheme="minorHAnsi"/>
                <w:sz w:val="20"/>
              </w:rPr>
            </w:pPr>
            <w:r w:rsidRPr="004B0F35">
              <w:rPr>
                <w:sz w:val="20"/>
              </w:rPr>
              <w:t>Climate Zone</w:t>
            </w:r>
          </w:p>
        </w:tc>
        <w:tc>
          <w:tcPr>
            <w:tcW w:w="3270" w:type="pct"/>
          </w:tcPr>
          <w:p w14:paraId="1B337CF8" w14:textId="77777777" w:rsidR="00CE354E" w:rsidRPr="004B0F35" w:rsidRDefault="00CE354E" w:rsidP="00667810">
            <w:pPr>
              <w:spacing w:before="0" w:after="0"/>
              <w:rPr>
                <w:rFonts w:cstheme="minorHAnsi"/>
                <w:sz w:val="20"/>
              </w:rPr>
            </w:pPr>
            <w:r w:rsidRPr="004B0F35">
              <w:rPr>
                <w:sz w:val="20"/>
              </w:rPr>
              <w:t>6, 9, and 16</w:t>
            </w:r>
          </w:p>
        </w:tc>
      </w:tr>
      <w:tr w:rsidR="00CE354E" w:rsidRPr="004B0F35" w14:paraId="77D8E799" w14:textId="77777777" w:rsidTr="00CE354E">
        <w:tc>
          <w:tcPr>
            <w:tcW w:w="1730" w:type="pct"/>
          </w:tcPr>
          <w:p w14:paraId="44CFBA2B" w14:textId="77777777" w:rsidR="00CE354E" w:rsidRPr="004B0F35" w:rsidRDefault="00CE354E" w:rsidP="00667810">
            <w:pPr>
              <w:spacing w:before="0" w:after="0"/>
              <w:rPr>
                <w:sz w:val="20"/>
              </w:rPr>
            </w:pPr>
            <w:r w:rsidRPr="004B0F35">
              <w:rPr>
                <w:sz w:val="20"/>
              </w:rPr>
              <w:t>Vintage</w:t>
            </w:r>
          </w:p>
        </w:tc>
        <w:tc>
          <w:tcPr>
            <w:tcW w:w="3270" w:type="pct"/>
          </w:tcPr>
          <w:p w14:paraId="7025DE95" w14:textId="77777777" w:rsidR="00CE354E" w:rsidRPr="004B0F35" w:rsidRDefault="00CE354E" w:rsidP="00667810">
            <w:pPr>
              <w:spacing w:before="0" w:after="0"/>
              <w:rPr>
                <w:sz w:val="20"/>
              </w:rPr>
            </w:pPr>
            <w:r w:rsidRPr="004B0F35">
              <w:rPr>
                <w:sz w:val="20"/>
              </w:rPr>
              <w:t>Envelope matches the MASControl2 model</w:t>
            </w:r>
          </w:p>
        </w:tc>
      </w:tr>
      <w:tr w:rsidR="00CE354E" w:rsidRPr="004B0F35" w14:paraId="36CE7E55" w14:textId="77777777" w:rsidTr="00CE354E">
        <w:tc>
          <w:tcPr>
            <w:tcW w:w="1730" w:type="pct"/>
          </w:tcPr>
          <w:p w14:paraId="5739C0F5" w14:textId="77777777" w:rsidR="00CE354E" w:rsidRPr="004B0F35" w:rsidRDefault="00CE354E" w:rsidP="00667810">
            <w:pPr>
              <w:spacing w:before="0" w:after="0"/>
              <w:rPr>
                <w:sz w:val="20"/>
              </w:rPr>
            </w:pPr>
            <w:r w:rsidRPr="004B0F35">
              <w:rPr>
                <w:sz w:val="20"/>
              </w:rPr>
              <w:t>HVAC System(s)</w:t>
            </w:r>
          </w:p>
        </w:tc>
        <w:tc>
          <w:tcPr>
            <w:tcW w:w="3270" w:type="pct"/>
          </w:tcPr>
          <w:p w14:paraId="5DAC51E4" w14:textId="77777777" w:rsidR="00CE354E" w:rsidRPr="004B0F35" w:rsidRDefault="00CE354E" w:rsidP="00667810">
            <w:pPr>
              <w:spacing w:before="0" w:after="0"/>
              <w:rPr>
                <w:sz w:val="20"/>
              </w:rPr>
            </w:pPr>
            <w:r w:rsidRPr="004B0F35">
              <w:rPr>
                <w:sz w:val="20"/>
              </w:rPr>
              <w:t>Packaged units with compressor and HHW coil</w:t>
            </w:r>
          </w:p>
        </w:tc>
      </w:tr>
      <w:tr w:rsidR="00CE354E" w:rsidRPr="004B0F35" w14:paraId="1254FE36" w14:textId="77777777" w:rsidTr="00CE354E">
        <w:tc>
          <w:tcPr>
            <w:tcW w:w="1730" w:type="pct"/>
          </w:tcPr>
          <w:p w14:paraId="2AD148F0" w14:textId="77777777" w:rsidR="00CE354E" w:rsidRPr="004B0F35" w:rsidRDefault="00CE354E" w:rsidP="00667810">
            <w:pPr>
              <w:spacing w:before="0" w:after="0"/>
              <w:rPr>
                <w:sz w:val="20"/>
              </w:rPr>
            </w:pPr>
            <w:r w:rsidRPr="004B0F35">
              <w:rPr>
                <w:sz w:val="20"/>
              </w:rPr>
              <w:t>Thermostat Setpoints</w:t>
            </w:r>
          </w:p>
        </w:tc>
        <w:tc>
          <w:tcPr>
            <w:tcW w:w="3270" w:type="pct"/>
          </w:tcPr>
          <w:p w14:paraId="39E7F2A9" w14:textId="77777777" w:rsidR="00CE354E" w:rsidRPr="004B0F35" w:rsidRDefault="00CE354E" w:rsidP="00667810">
            <w:pPr>
              <w:spacing w:before="0" w:after="0"/>
              <w:rPr>
                <w:sz w:val="20"/>
              </w:rPr>
            </w:pPr>
            <w:r w:rsidRPr="004B0F35">
              <w:rPr>
                <w:sz w:val="20"/>
              </w:rPr>
              <w:t>Cooling Setpoint of 75°F, heating setpoint of 73°F</w:t>
            </w:r>
          </w:p>
        </w:tc>
      </w:tr>
      <w:tr w:rsidR="00CE354E" w:rsidRPr="004B0F35" w14:paraId="54E0EC0C" w14:textId="77777777" w:rsidTr="00CE354E">
        <w:tc>
          <w:tcPr>
            <w:tcW w:w="1730" w:type="pct"/>
          </w:tcPr>
          <w:p w14:paraId="61A915A9" w14:textId="77777777" w:rsidR="00CE354E" w:rsidRPr="004B0F35" w:rsidRDefault="00CE354E" w:rsidP="00667810">
            <w:pPr>
              <w:spacing w:before="0" w:after="0"/>
              <w:rPr>
                <w:sz w:val="20"/>
              </w:rPr>
            </w:pPr>
            <w:r w:rsidRPr="004B0F35">
              <w:rPr>
                <w:sz w:val="20"/>
              </w:rPr>
              <w:t>Residential Unit Qty. and Floor Area</w:t>
            </w:r>
          </w:p>
        </w:tc>
        <w:tc>
          <w:tcPr>
            <w:tcW w:w="3270" w:type="pct"/>
          </w:tcPr>
          <w:p w14:paraId="2EB0EF81" w14:textId="77777777" w:rsidR="00CE354E" w:rsidRPr="004B0F35" w:rsidRDefault="00CE354E" w:rsidP="00667810">
            <w:pPr>
              <w:spacing w:before="0" w:after="0"/>
              <w:rPr>
                <w:b/>
                <w:sz w:val="20"/>
              </w:rPr>
            </w:pPr>
            <w:r w:rsidRPr="004B0F35">
              <w:rPr>
                <w:sz w:val="20"/>
              </w:rPr>
              <w:t>12 residential units; 1,000 square feet each</w:t>
            </w:r>
          </w:p>
        </w:tc>
      </w:tr>
      <w:tr w:rsidR="00CE354E" w:rsidRPr="004B0F35" w14:paraId="661C5984" w14:textId="77777777" w:rsidTr="00CE354E">
        <w:tc>
          <w:tcPr>
            <w:tcW w:w="1730" w:type="pct"/>
          </w:tcPr>
          <w:p w14:paraId="53CC6D70" w14:textId="77777777" w:rsidR="00CE354E" w:rsidRPr="004B0F35" w:rsidRDefault="00CE354E" w:rsidP="00667810">
            <w:pPr>
              <w:spacing w:before="0" w:after="0"/>
              <w:rPr>
                <w:sz w:val="20"/>
              </w:rPr>
            </w:pPr>
            <w:r w:rsidRPr="004B0F35">
              <w:rPr>
                <w:sz w:val="20"/>
              </w:rPr>
              <w:lastRenderedPageBreak/>
              <w:t>Total floor area</w:t>
            </w:r>
          </w:p>
        </w:tc>
        <w:tc>
          <w:tcPr>
            <w:tcW w:w="3270" w:type="pct"/>
          </w:tcPr>
          <w:p w14:paraId="648F3CCC" w14:textId="77777777" w:rsidR="00CE354E" w:rsidRPr="004B0F35" w:rsidRDefault="00CE354E" w:rsidP="00667810">
            <w:pPr>
              <w:spacing w:before="0" w:after="0"/>
              <w:rPr>
                <w:sz w:val="20"/>
              </w:rPr>
            </w:pPr>
            <w:r w:rsidRPr="004B0F35">
              <w:rPr>
                <w:sz w:val="20"/>
              </w:rPr>
              <w:t>13,518 square feet (12,000 conditioned, 1,518 unconditioned)</w:t>
            </w:r>
          </w:p>
        </w:tc>
      </w:tr>
      <w:tr w:rsidR="00CE354E" w:rsidRPr="004B0F35" w14:paraId="27458630" w14:textId="77777777" w:rsidTr="00CE354E">
        <w:tc>
          <w:tcPr>
            <w:tcW w:w="1730" w:type="pct"/>
          </w:tcPr>
          <w:p w14:paraId="68A2FD02" w14:textId="77777777" w:rsidR="00CE354E" w:rsidRPr="004B0F35" w:rsidRDefault="00CE354E" w:rsidP="00667810">
            <w:pPr>
              <w:spacing w:before="0" w:after="0"/>
              <w:rPr>
                <w:rFonts w:cstheme="minorHAnsi"/>
                <w:sz w:val="20"/>
              </w:rPr>
            </w:pPr>
            <w:r w:rsidRPr="004B0F35">
              <w:rPr>
                <w:sz w:val="20"/>
              </w:rPr>
              <w:t>Water heating system type</w:t>
            </w:r>
          </w:p>
        </w:tc>
        <w:tc>
          <w:tcPr>
            <w:tcW w:w="3270" w:type="pct"/>
          </w:tcPr>
          <w:p w14:paraId="4FD130AF" w14:textId="77777777" w:rsidR="00CE354E" w:rsidRPr="004B0F35" w:rsidRDefault="00CE354E" w:rsidP="00667810">
            <w:pPr>
              <w:spacing w:before="0" w:after="0"/>
              <w:rPr>
                <w:rFonts w:cstheme="minorHAnsi"/>
                <w:sz w:val="20"/>
              </w:rPr>
            </w:pPr>
            <w:r w:rsidRPr="004B0F35">
              <w:rPr>
                <w:sz w:val="20"/>
              </w:rPr>
              <w:t xml:space="preserve">Central combination heating system: boiler; storage tank; primary-secondary constant volume pumping; heating hot water coils and domestic water fixtures on the same loop. </w:t>
            </w:r>
          </w:p>
        </w:tc>
      </w:tr>
      <w:tr w:rsidR="00CE354E" w:rsidRPr="004B0F35" w14:paraId="2F735EE4" w14:textId="77777777" w:rsidTr="00CE354E">
        <w:tc>
          <w:tcPr>
            <w:tcW w:w="1730" w:type="pct"/>
          </w:tcPr>
          <w:p w14:paraId="3139A665" w14:textId="77777777" w:rsidR="00CE354E" w:rsidRPr="004B0F35" w:rsidRDefault="00CE354E" w:rsidP="00667810">
            <w:pPr>
              <w:spacing w:before="0" w:after="0"/>
              <w:rPr>
                <w:rFonts w:cstheme="minorHAnsi"/>
                <w:sz w:val="20"/>
              </w:rPr>
            </w:pPr>
            <w:r w:rsidRPr="004B0F35">
              <w:rPr>
                <w:sz w:val="20"/>
              </w:rPr>
              <w:t>Boiler output capacity</w:t>
            </w:r>
          </w:p>
        </w:tc>
        <w:tc>
          <w:tcPr>
            <w:tcW w:w="3270" w:type="pct"/>
          </w:tcPr>
          <w:p w14:paraId="0BB14B0F" w14:textId="77777777" w:rsidR="00CE354E" w:rsidRPr="004B0F35" w:rsidRDefault="00CE354E" w:rsidP="00667810">
            <w:pPr>
              <w:spacing w:before="0" w:after="0"/>
              <w:rPr>
                <w:sz w:val="20"/>
              </w:rPr>
            </w:pPr>
            <w:r w:rsidRPr="004B0F35">
              <w:rPr>
                <w:sz w:val="20"/>
              </w:rPr>
              <w:t>Climate zones 6 &amp; 9: 272,495.7 Btu/hr (auto-sized with 1.5 sizing factor)</w:t>
            </w:r>
          </w:p>
          <w:p w14:paraId="2B99342D" w14:textId="77777777" w:rsidR="00CE354E" w:rsidRPr="004B0F35" w:rsidRDefault="00CE354E" w:rsidP="00667810">
            <w:pPr>
              <w:spacing w:before="0" w:after="0"/>
              <w:rPr>
                <w:rFonts w:cstheme="minorHAnsi"/>
                <w:sz w:val="20"/>
              </w:rPr>
            </w:pPr>
            <w:r w:rsidRPr="004B0F35">
              <w:rPr>
                <w:sz w:val="20"/>
              </w:rPr>
              <w:t>Climate zone 16:        375,972.6 Btu/hr (auto-sized with 2.0 sizing factor)</w:t>
            </w:r>
          </w:p>
        </w:tc>
      </w:tr>
      <w:tr w:rsidR="00CE354E" w:rsidRPr="004B0F35" w14:paraId="0E75A969" w14:textId="77777777" w:rsidTr="00CE354E">
        <w:tc>
          <w:tcPr>
            <w:tcW w:w="1730" w:type="pct"/>
          </w:tcPr>
          <w:p w14:paraId="780C21AC" w14:textId="77777777" w:rsidR="00CE354E" w:rsidRPr="004B0F35" w:rsidRDefault="00CE354E" w:rsidP="00667810">
            <w:pPr>
              <w:spacing w:before="0" w:after="0"/>
              <w:rPr>
                <w:sz w:val="20"/>
              </w:rPr>
            </w:pPr>
            <w:r w:rsidRPr="004B0F35">
              <w:rPr>
                <w:sz w:val="20"/>
              </w:rPr>
              <w:t>Boiler recovery efficiency</w:t>
            </w:r>
          </w:p>
        </w:tc>
        <w:tc>
          <w:tcPr>
            <w:tcW w:w="3270" w:type="pct"/>
          </w:tcPr>
          <w:p w14:paraId="0474C351" w14:textId="77777777" w:rsidR="00CE354E" w:rsidRPr="004B0F35" w:rsidRDefault="00CE354E" w:rsidP="00667810">
            <w:pPr>
              <w:spacing w:before="0" w:after="0"/>
              <w:rPr>
                <w:sz w:val="20"/>
              </w:rPr>
            </w:pPr>
            <w:r w:rsidRPr="004B0F35">
              <w:rPr>
                <w:sz w:val="20"/>
              </w:rPr>
              <w:t>0.80</w:t>
            </w:r>
          </w:p>
        </w:tc>
      </w:tr>
      <w:tr w:rsidR="00CE354E" w:rsidRPr="004B0F35" w14:paraId="71D84CF1" w14:textId="77777777" w:rsidTr="00CE354E">
        <w:tc>
          <w:tcPr>
            <w:tcW w:w="1730" w:type="pct"/>
          </w:tcPr>
          <w:p w14:paraId="52F0D059" w14:textId="77777777" w:rsidR="00CE354E" w:rsidRPr="004B0F35" w:rsidRDefault="00CE354E" w:rsidP="00667810">
            <w:pPr>
              <w:spacing w:before="0" w:after="0"/>
              <w:rPr>
                <w:sz w:val="20"/>
              </w:rPr>
            </w:pPr>
            <w:r w:rsidRPr="004B0F35">
              <w:rPr>
                <w:sz w:val="20"/>
              </w:rPr>
              <w:t>Boiler temperature delta</w:t>
            </w:r>
          </w:p>
        </w:tc>
        <w:tc>
          <w:tcPr>
            <w:tcW w:w="3270" w:type="pct"/>
          </w:tcPr>
          <w:p w14:paraId="7B75D0CD" w14:textId="77777777" w:rsidR="00CE354E" w:rsidRPr="004B0F35" w:rsidRDefault="00CE354E" w:rsidP="00667810">
            <w:pPr>
              <w:spacing w:before="0" w:after="0"/>
              <w:rPr>
                <w:sz w:val="20"/>
              </w:rPr>
            </w:pPr>
            <w:r w:rsidRPr="004B0F35">
              <w:rPr>
                <w:sz w:val="20"/>
              </w:rPr>
              <w:t>20°F</w:t>
            </w:r>
          </w:p>
        </w:tc>
      </w:tr>
      <w:tr w:rsidR="00CE354E" w:rsidRPr="004B0F35" w14:paraId="235B9CDD" w14:textId="77777777" w:rsidTr="00CE354E">
        <w:tc>
          <w:tcPr>
            <w:tcW w:w="1730" w:type="pct"/>
          </w:tcPr>
          <w:p w14:paraId="120CBF27" w14:textId="77777777" w:rsidR="00CE354E" w:rsidRPr="004B0F35" w:rsidRDefault="00CE354E" w:rsidP="00667810">
            <w:pPr>
              <w:spacing w:before="0" w:after="0"/>
              <w:rPr>
                <w:sz w:val="20"/>
              </w:rPr>
            </w:pPr>
            <w:r w:rsidRPr="004B0F35">
              <w:rPr>
                <w:sz w:val="20"/>
              </w:rPr>
              <w:t>Tank setpoint and differential temperature</w:t>
            </w:r>
          </w:p>
        </w:tc>
        <w:tc>
          <w:tcPr>
            <w:tcW w:w="3270" w:type="pct"/>
          </w:tcPr>
          <w:p w14:paraId="0E0DE98D" w14:textId="77777777" w:rsidR="00CE354E" w:rsidRPr="004B0F35" w:rsidRDefault="00CE354E" w:rsidP="00667810">
            <w:pPr>
              <w:spacing w:before="0" w:after="0"/>
              <w:rPr>
                <w:sz w:val="20"/>
              </w:rPr>
            </w:pPr>
            <w:r w:rsidRPr="004B0F35">
              <w:rPr>
                <w:sz w:val="20"/>
              </w:rPr>
              <w:t>Baseline: 135°F, 5°F temperature differential</w:t>
            </w:r>
          </w:p>
          <w:p w14:paraId="46C58A68" w14:textId="77777777" w:rsidR="00CE354E" w:rsidRPr="004B0F35" w:rsidRDefault="00CE354E" w:rsidP="00667810">
            <w:pPr>
              <w:spacing w:before="0" w:after="0"/>
              <w:rPr>
                <w:b/>
                <w:sz w:val="20"/>
              </w:rPr>
            </w:pPr>
            <w:r w:rsidRPr="004B0F35">
              <w:rPr>
                <w:b/>
                <w:sz w:val="20"/>
              </w:rPr>
              <w:t>Proposed: 135°F/120°F (at 55°F/75°F ambient hourly), 5°F differential</w:t>
            </w:r>
          </w:p>
        </w:tc>
      </w:tr>
      <w:tr w:rsidR="00CE354E" w:rsidRPr="004B0F35" w14:paraId="234B5BDC" w14:textId="77777777" w:rsidTr="00CE354E">
        <w:tc>
          <w:tcPr>
            <w:tcW w:w="1730" w:type="pct"/>
          </w:tcPr>
          <w:p w14:paraId="0C9D7F0A" w14:textId="77777777" w:rsidR="00CE354E" w:rsidRPr="004B0F35" w:rsidRDefault="00CE354E" w:rsidP="00667810">
            <w:pPr>
              <w:spacing w:before="0" w:after="0"/>
              <w:rPr>
                <w:sz w:val="20"/>
              </w:rPr>
            </w:pPr>
            <w:r w:rsidRPr="004B0F35">
              <w:rPr>
                <w:sz w:val="20"/>
              </w:rPr>
              <w:t xml:space="preserve">Primary pump flow rate </w:t>
            </w:r>
          </w:p>
        </w:tc>
        <w:tc>
          <w:tcPr>
            <w:tcW w:w="3270" w:type="pct"/>
          </w:tcPr>
          <w:p w14:paraId="111F5151" w14:textId="77777777" w:rsidR="00CE354E" w:rsidRPr="004B0F35" w:rsidRDefault="00CE354E" w:rsidP="00667810">
            <w:pPr>
              <w:spacing w:before="0" w:after="0"/>
              <w:rPr>
                <w:sz w:val="20"/>
              </w:rPr>
            </w:pPr>
            <w:r w:rsidRPr="004B0F35">
              <w:rPr>
                <w:sz w:val="20"/>
              </w:rPr>
              <w:t>Climate zones 6 &amp; 9: 27.2 gpm (auto-sized per sizing factor)</w:t>
            </w:r>
          </w:p>
          <w:p w14:paraId="797F4A1E" w14:textId="77777777" w:rsidR="00CE354E" w:rsidRPr="004B0F35" w:rsidRDefault="00CE354E" w:rsidP="00667810">
            <w:pPr>
              <w:spacing w:before="0" w:after="0"/>
              <w:rPr>
                <w:sz w:val="20"/>
              </w:rPr>
            </w:pPr>
            <w:r w:rsidRPr="004B0F35">
              <w:rPr>
                <w:sz w:val="20"/>
              </w:rPr>
              <w:t>Climate zone 16:        37.5 gpm (auto-sized per sizing factor)</w:t>
            </w:r>
          </w:p>
        </w:tc>
      </w:tr>
      <w:tr w:rsidR="00CE354E" w:rsidRPr="004B0F35" w14:paraId="3258ECCE" w14:textId="77777777" w:rsidTr="00CE354E">
        <w:tc>
          <w:tcPr>
            <w:tcW w:w="1730" w:type="pct"/>
          </w:tcPr>
          <w:p w14:paraId="1D0FBD3F" w14:textId="77777777" w:rsidR="00CE354E" w:rsidRPr="004B0F35" w:rsidRDefault="00CE354E" w:rsidP="00667810">
            <w:pPr>
              <w:spacing w:before="0" w:after="0"/>
              <w:rPr>
                <w:sz w:val="20"/>
              </w:rPr>
            </w:pPr>
            <w:r w:rsidRPr="004B0F35">
              <w:rPr>
                <w:sz w:val="20"/>
              </w:rPr>
              <w:t>Primary pump head</w:t>
            </w:r>
          </w:p>
        </w:tc>
        <w:tc>
          <w:tcPr>
            <w:tcW w:w="3270" w:type="pct"/>
          </w:tcPr>
          <w:p w14:paraId="7FDBE7CF" w14:textId="77777777" w:rsidR="00CE354E" w:rsidRPr="004B0F35" w:rsidRDefault="00CE354E" w:rsidP="00667810">
            <w:pPr>
              <w:spacing w:before="0" w:after="0"/>
              <w:rPr>
                <w:sz w:val="20"/>
              </w:rPr>
            </w:pPr>
            <w:r w:rsidRPr="004B0F35">
              <w:rPr>
                <w:sz w:val="20"/>
              </w:rPr>
              <w:t>15 feet</w:t>
            </w:r>
          </w:p>
        </w:tc>
      </w:tr>
      <w:tr w:rsidR="00CE354E" w:rsidRPr="004B0F35" w14:paraId="312DF248" w14:textId="77777777" w:rsidTr="00CE354E">
        <w:tc>
          <w:tcPr>
            <w:tcW w:w="1730" w:type="pct"/>
          </w:tcPr>
          <w:p w14:paraId="18817760" w14:textId="77777777" w:rsidR="00CE354E" w:rsidRPr="004B0F35" w:rsidRDefault="00CE354E" w:rsidP="00667810">
            <w:pPr>
              <w:spacing w:before="0" w:after="0"/>
              <w:rPr>
                <w:sz w:val="20"/>
              </w:rPr>
            </w:pPr>
            <w:r w:rsidRPr="004B0F35">
              <w:rPr>
                <w:sz w:val="20"/>
              </w:rPr>
              <w:t>Secondary pump flow rate</w:t>
            </w:r>
          </w:p>
        </w:tc>
        <w:tc>
          <w:tcPr>
            <w:tcW w:w="3270" w:type="pct"/>
          </w:tcPr>
          <w:p w14:paraId="39CD5DDD" w14:textId="77777777" w:rsidR="00CE354E" w:rsidRPr="004B0F35" w:rsidRDefault="00CE354E" w:rsidP="00667810">
            <w:pPr>
              <w:spacing w:before="0" w:after="0"/>
              <w:rPr>
                <w:sz w:val="20"/>
              </w:rPr>
            </w:pPr>
            <w:r w:rsidRPr="004B0F35">
              <w:rPr>
                <w:sz w:val="20"/>
              </w:rPr>
              <w:t>Climate zones 6 &amp; 9: 40.0 gpm (selected), constant speed</w:t>
            </w:r>
          </w:p>
          <w:p w14:paraId="1696C5C6" w14:textId="77777777" w:rsidR="00CE354E" w:rsidRPr="004B0F35" w:rsidRDefault="00CE354E" w:rsidP="00667810">
            <w:pPr>
              <w:spacing w:before="0" w:after="0"/>
              <w:rPr>
                <w:sz w:val="20"/>
              </w:rPr>
            </w:pPr>
            <w:r w:rsidRPr="004B0F35">
              <w:rPr>
                <w:sz w:val="20"/>
              </w:rPr>
              <w:t>Climate zone 16:        50.3 gpm (auto-sized), constant speed</w:t>
            </w:r>
          </w:p>
        </w:tc>
      </w:tr>
      <w:tr w:rsidR="00CE354E" w:rsidRPr="004B0F35" w14:paraId="081002B4" w14:textId="77777777" w:rsidTr="00CE354E">
        <w:tc>
          <w:tcPr>
            <w:tcW w:w="1730" w:type="pct"/>
          </w:tcPr>
          <w:p w14:paraId="4AB47438" w14:textId="77777777" w:rsidR="00CE354E" w:rsidRPr="004B0F35" w:rsidRDefault="00CE354E" w:rsidP="00667810">
            <w:pPr>
              <w:spacing w:before="0" w:after="0"/>
              <w:rPr>
                <w:sz w:val="20"/>
              </w:rPr>
            </w:pPr>
            <w:r w:rsidRPr="004B0F35">
              <w:rPr>
                <w:sz w:val="20"/>
              </w:rPr>
              <w:t>Secondary pump head</w:t>
            </w:r>
          </w:p>
        </w:tc>
        <w:tc>
          <w:tcPr>
            <w:tcW w:w="3270" w:type="pct"/>
          </w:tcPr>
          <w:p w14:paraId="07DB6DCD" w14:textId="77777777" w:rsidR="00CE354E" w:rsidRPr="004B0F35" w:rsidRDefault="00CE354E" w:rsidP="00667810">
            <w:pPr>
              <w:spacing w:before="0" w:after="0"/>
              <w:rPr>
                <w:sz w:val="20"/>
              </w:rPr>
            </w:pPr>
            <w:r w:rsidRPr="004B0F35">
              <w:rPr>
                <w:sz w:val="20"/>
              </w:rPr>
              <w:t>40 feet</w:t>
            </w:r>
          </w:p>
        </w:tc>
      </w:tr>
      <w:tr w:rsidR="00CE354E" w:rsidRPr="004B0F35" w14:paraId="17B2C644" w14:textId="77777777" w:rsidTr="00CE354E">
        <w:tc>
          <w:tcPr>
            <w:tcW w:w="1730" w:type="pct"/>
          </w:tcPr>
          <w:p w14:paraId="694473D4" w14:textId="77777777" w:rsidR="00CE354E" w:rsidRPr="004B0F35" w:rsidRDefault="00CE354E" w:rsidP="00667810">
            <w:pPr>
              <w:spacing w:before="0" w:after="0"/>
              <w:rPr>
                <w:sz w:val="20"/>
              </w:rPr>
            </w:pPr>
            <w:r w:rsidRPr="004B0F35">
              <w:rPr>
                <w:sz w:val="20"/>
              </w:rPr>
              <w:t>Tank UA</w:t>
            </w:r>
          </w:p>
        </w:tc>
        <w:tc>
          <w:tcPr>
            <w:tcW w:w="3270" w:type="pct"/>
          </w:tcPr>
          <w:p w14:paraId="021C6DF3" w14:textId="77777777" w:rsidR="00CE354E" w:rsidRPr="004B0F35" w:rsidRDefault="00CE354E" w:rsidP="00667810">
            <w:pPr>
              <w:spacing w:before="0" w:after="0"/>
              <w:rPr>
                <w:sz w:val="20"/>
              </w:rPr>
            </w:pPr>
            <w:r w:rsidRPr="004B0F35">
              <w:rPr>
                <w:sz w:val="20"/>
              </w:rPr>
              <w:t>7.996 Btu/hr-°F</w:t>
            </w:r>
          </w:p>
        </w:tc>
      </w:tr>
      <w:tr w:rsidR="00CE354E" w:rsidRPr="004B0F35" w14:paraId="4BE24B14" w14:textId="77777777" w:rsidTr="00CE354E">
        <w:tc>
          <w:tcPr>
            <w:tcW w:w="1730" w:type="pct"/>
          </w:tcPr>
          <w:p w14:paraId="406CE104" w14:textId="77777777" w:rsidR="00CE354E" w:rsidRPr="004B0F35" w:rsidRDefault="00CE354E" w:rsidP="00667810">
            <w:pPr>
              <w:spacing w:before="0" w:after="0"/>
              <w:rPr>
                <w:sz w:val="20"/>
              </w:rPr>
            </w:pPr>
            <w:r w:rsidRPr="004B0F35">
              <w:rPr>
                <w:sz w:val="20"/>
              </w:rPr>
              <w:t>Tank capacity</w:t>
            </w:r>
          </w:p>
        </w:tc>
        <w:tc>
          <w:tcPr>
            <w:tcW w:w="3270" w:type="pct"/>
          </w:tcPr>
          <w:p w14:paraId="2C013DC8" w14:textId="77777777" w:rsidR="00CE354E" w:rsidRPr="004B0F35" w:rsidRDefault="00CE354E" w:rsidP="00667810">
            <w:pPr>
              <w:spacing w:before="0" w:after="0"/>
              <w:rPr>
                <w:sz w:val="20"/>
              </w:rPr>
            </w:pPr>
            <w:r w:rsidRPr="004B0F35">
              <w:rPr>
                <w:sz w:val="20"/>
              </w:rPr>
              <w:t>Climate zones 6 &amp; 9: 150 gallons (selected)</w:t>
            </w:r>
          </w:p>
          <w:p w14:paraId="46ABE7A4" w14:textId="77777777" w:rsidR="00CE354E" w:rsidRPr="004B0F35" w:rsidRDefault="00CE354E" w:rsidP="00667810">
            <w:pPr>
              <w:spacing w:before="0" w:after="0"/>
              <w:rPr>
                <w:sz w:val="20"/>
              </w:rPr>
            </w:pPr>
            <w:r w:rsidRPr="004B0F35">
              <w:rPr>
                <w:sz w:val="20"/>
              </w:rPr>
              <w:t>Climate zone 16:        200 gallons (selected)</w:t>
            </w:r>
          </w:p>
        </w:tc>
      </w:tr>
      <w:tr w:rsidR="00CE354E" w:rsidRPr="004B0F35" w14:paraId="3FCDC999" w14:textId="77777777" w:rsidTr="00CE354E">
        <w:tc>
          <w:tcPr>
            <w:tcW w:w="1730" w:type="pct"/>
          </w:tcPr>
          <w:p w14:paraId="43672990" w14:textId="77777777" w:rsidR="00CE354E" w:rsidRPr="004B0F35" w:rsidRDefault="00CE354E" w:rsidP="00667810">
            <w:pPr>
              <w:spacing w:before="0" w:after="0"/>
              <w:rPr>
                <w:rFonts w:cstheme="minorHAnsi"/>
                <w:sz w:val="20"/>
              </w:rPr>
            </w:pPr>
            <w:r w:rsidRPr="004B0F35">
              <w:rPr>
                <w:rFonts w:cstheme="minorHAnsi"/>
                <w:sz w:val="20"/>
              </w:rPr>
              <w:t>Central plant location</w:t>
            </w:r>
          </w:p>
        </w:tc>
        <w:tc>
          <w:tcPr>
            <w:tcW w:w="3270" w:type="pct"/>
          </w:tcPr>
          <w:p w14:paraId="67B25758" w14:textId="77777777" w:rsidR="00CE354E" w:rsidRPr="004B0F35" w:rsidRDefault="00CE354E" w:rsidP="00667810">
            <w:pPr>
              <w:spacing w:before="0" w:after="0"/>
              <w:rPr>
                <w:rFonts w:cstheme="minorHAnsi"/>
                <w:sz w:val="20"/>
              </w:rPr>
            </w:pPr>
            <w:r w:rsidRPr="004B0F35">
              <w:rPr>
                <w:rFonts w:cstheme="minorHAnsi"/>
                <w:sz w:val="20"/>
              </w:rPr>
              <w:t>Outdoors</w:t>
            </w:r>
          </w:p>
        </w:tc>
      </w:tr>
      <w:tr w:rsidR="00CE354E" w:rsidRPr="004B0F35" w14:paraId="1BEDFF34" w14:textId="77777777" w:rsidTr="00CE354E">
        <w:tc>
          <w:tcPr>
            <w:tcW w:w="1730" w:type="pct"/>
          </w:tcPr>
          <w:p w14:paraId="54BBCB5F" w14:textId="77777777" w:rsidR="00CE354E" w:rsidRPr="004B0F35" w:rsidRDefault="00CE354E" w:rsidP="00667810">
            <w:pPr>
              <w:spacing w:before="0" w:after="0"/>
              <w:rPr>
                <w:sz w:val="20"/>
              </w:rPr>
            </w:pPr>
            <w:r w:rsidRPr="004B0F35">
              <w:rPr>
                <w:sz w:val="20"/>
              </w:rPr>
              <w:t>Hot water usage</w:t>
            </w:r>
          </w:p>
        </w:tc>
        <w:tc>
          <w:tcPr>
            <w:tcW w:w="3270" w:type="pct"/>
          </w:tcPr>
          <w:p w14:paraId="4375DEB8" w14:textId="77777777" w:rsidR="00CE354E" w:rsidRPr="004B0F35" w:rsidRDefault="00CE354E" w:rsidP="00667810">
            <w:pPr>
              <w:spacing w:before="0" w:after="0"/>
              <w:rPr>
                <w:sz w:val="20"/>
              </w:rPr>
            </w:pPr>
            <w:r w:rsidRPr="004B0F35">
              <w:rPr>
                <w:sz w:val="20"/>
              </w:rPr>
              <w:t>52.3 gallons/day/residential unit of 115°F mixed water at the fixtures</w:t>
            </w:r>
          </w:p>
        </w:tc>
      </w:tr>
      <w:tr w:rsidR="00CE354E" w:rsidRPr="004B0F35" w14:paraId="2127DC4D" w14:textId="77777777" w:rsidTr="00CE354E">
        <w:tc>
          <w:tcPr>
            <w:tcW w:w="1730" w:type="pct"/>
          </w:tcPr>
          <w:p w14:paraId="146436E0" w14:textId="77777777" w:rsidR="00CE354E" w:rsidRPr="004B0F35" w:rsidRDefault="00CE354E" w:rsidP="00667810">
            <w:pPr>
              <w:spacing w:before="0" w:after="0"/>
              <w:rPr>
                <w:sz w:val="20"/>
              </w:rPr>
            </w:pPr>
            <w:r w:rsidRPr="004B0F35">
              <w:rPr>
                <w:sz w:val="20"/>
              </w:rPr>
              <w:t>Piping material</w:t>
            </w:r>
          </w:p>
        </w:tc>
        <w:tc>
          <w:tcPr>
            <w:tcW w:w="3270" w:type="pct"/>
          </w:tcPr>
          <w:p w14:paraId="6399DFB4" w14:textId="77777777" w:rsidR="00CE354E" w:rsidRPr="004B0F35" w:rsidRDefault="00CE354E" w:rsidP="00667810">
            <w:pPr>
              <w:spacing w:before="0" w:after="0"/>
              <w:rPr>
                <w:sz w:val="20"/>
              </w:rPr>
            </w:pPr>
            <w:r w:rsidRPr="004B0F35">
              <w:rPr>
                <w:sz w:val="20"/>
              </w:rPr>
              <w:t>Copper with no insulation</w:t>
            </w:r>
          </w:p>
        </w:tc>
      </w:tr>
      <w:tr w:rsidR="00CE354E" w:rsidRPr="004B0F35" w14:paraId="7D18E32C" w14:textId="77777777" w:rsidTr="00CE354E">
        <w:tc>
          <w:tcPr>
            <w:tcW w:w="1730" w:type="pct"/>
          </w:tcPr>
          <w:p w14:paraId="113B3CA2" w14:textId="77777777" w:rsidR="00CE354E" w:rsidRPr="004B0F35" w:rsidRDefault="00CE354E" w:rsidP="00667810">
            <w:pPr>
              <w:spacing w:before="0" w:after="0"/>
              <w:rPr>
                <w:sz w:val="20"/>
              </w:rPr>
            </w:pPr>
            <w:r w:rsidRPr="004B0F35">
              <w:rPr>
                <w:sz w:val="20"/>
              </w:rPr>
              <w:t>Piping length and diameter</w:t>
            </w:r>
          </w:p>
        </w:tc>
        <w:tc>
          <w:tcPr>
            <w:tcW w:w="3270" w:type="pct"/>
          </w:tcPr>
          <w:p w14:paraId="2891D158" w14:textId="77777777" w:rsidR="00CE354E" w:rsidRPr="004B0F35" w:rsidRDefault="00CE354E" w:rsidP="00667810">
            <w:pPr>
              <w:spacing w:before="0" w:after="0"/>
              <w:rPr>
                <w:sz w:val="20"/>
              </w:rPr>
            </w:pPr>
            <w:r w:rsidRPr="004B0F35">
              <w:rPr>
                <w:sz w:val="20"/>
              </w:rPr>
              <w:t>20' of 2" pipe outdoors; 110' of 2" indoor pipe; 380’ of 1.5" indoor pipe; 120' of 3/4" indoor pipe at fan coils</w:t>
            </w:r>
          </w:p>
        </w:tc>
      </w:tr>
      <w:tr w:rsidR="00CE354E" w:rsidRPr="004B0F35" w14:paraId="08FEB086" w14:textId="77777777" w:rsidTr="00CE354E">
        <w:tc>
          <w:tcPr>
            <w:tcW w:w="1730" w:type="pct"/>
          </w:tcPr>
          <w:p w14:paraId="3ED016C1" w14:textId="77777777" w:rsidR="00CE354E" w:rsidRPr="004B0F35" w:rsidRDefault="00CE354E" w:rsidP="00667810">
            <w:pPr>
              <w:spacing w:before="0" w:after="0"/>
              <w:rPr>
                <w:sz w:val="20"/>
              </w:rPr>
            </w:pPr>
            <w:r w:rsidRPr="004B0F35">
              <w:rPr>
                <w:sz w:val="20"/>
              </w:rPr>
              <w:t>Temperature around indoor pipe</w:t>
            </w:r>
          </w:p>
        </w:tc>
        <w:tc>
          <w:tcPr>
            <w:tcW w:w="3270" w:type="pct"/>
          </w:tcPr>
          <w:p w14:paraId="5005C90C" w14:textId="77777777" w:rsidR="00CE354E" w:rsidRPr="004B0F35" w:rsidRDefault="00CE354E" w:rsidP="00667810">
            <w:pPr>
              <w:spacing w:before="0" w:after="0"/>
              <w:rPr>
                <w:sz w:val="20"/>
              </w:rPr>
            </w:pPr>
            <w:r w:rsidRPr="004B0F35">
              <w:rPr>
                <w:sz w:val="20"/>
              </w:rPr>
              <w:t>70°F</w:t>
            </w:r>
          </w:p>
        </w:tc>
      </w:tr>
      <w:tr w:rsidR="00CE354E" w:rsidRPr="004B0F35" w14:paraId="1AE07594" w14:textId="77777777" w:rsidTr="00CE354E">
        <w:tc>
          <w:tcPr>
            <w:tcW w:w="1730" w:type="pct"/>
          </w:tcPr>
          <w:p w14:paraId="2DC6AC05" w14:textId="77777777" w:rsidR="00CE354E" w:rsidRPr="004B0F35" w:rsidRDefault="00CE354E" w:rsidP="00667810">
            <w:pPr>
              <w:spacing w:before="0" w:after="0"/>
              <w:rPr>
                <w:sz w:val="20"/>
              </w:rPr>
            </w:pPr>
            <w:r w:rsidRPr="004B0F35">
              <w:rPr>
                <w:sz w:val="20"/>
              </w:rPr>
              <w:t>Heating hot water coil design conditions</w:t>
            </w:r>
          </w:p>
        </w:tc>
        <w:tc>
          <w:tcPr>
            <w:tcW w:w="3270" w:type="pct"/>
          </w:tcPr>
          <w:p w14:paraId="39C1FD28" w14:textId="77777777" w:rsidR="00CE354E" w:rsidRPr="004B0F35" w:rsidRDefault="00CE354E" w:rsidP="00667810">
            <w:pPr>
              <w:spacing w:before="0" w:after="0"/>
              <w:rPr>
                <w:sz w:val="20"/>
              </w:rPr>
            </w:pPr>
            <w:r w:rsidRPr="004B0F35">
              <w:rPr>
                <w:sz w:val="20"/>
              </w:rPr>
              <w:t>130°F entering water; modulating control valves.</w:t>
            </w:r>
          </w:p>
          <w:p w14:paraId="6219A9FE" w14:textId="77777777" w:rsidR="00CE354E" w:rsidRPr="004B0F35" w:rsidRDefault="00CE354E" w:rsidP="00667810">
            <w:pPr>
              <w:spacing w:before="0" w:after="0"/>
              <w:rPr>
                <w:sz w:val="20"/>
              </w:rPr>
            </w:pPr>
            <w:r w:rsidRPr="004B0F35">
              <w:rPr>
                <w:sz w:val="20"/>
              </w:rPr>
              <w:t>Climate zones 6 &amp; 9: 30°F temperature delta</w:t>
            </w:r>
          </w:p>
          <w:p w14:paraId="0D9B5389" w14:textId="77777777" w:rsidR="00CE354E" w:rsidRPr="004B0F35" w:rsidRDefault="00CE354E" w:rsidP="00667810">
            <w:pPr>
              <w:spacing w:before="0" w:after="0"/>
              <w:rPr>
                <w:sz w:val="20"/>
              </w:rPr>
            </w:pPr>
            <w:r w:rsidRPr="004B0F35">
              <w:rPr>
                <w:sz w:val="20"/>
              </w:rPr>
              <w:t>Climate zone 16:        20°F temperature delta</w:t>
            </w:r>
          </w:p>
        </w:tc>
      </w:tr>
    </w:tbl>
    <w:p w14:paraId="300B7B32" w14:textId="77777777" w:rsidR="00CE354E" w:rsidRDefault="00CE354E" w:rsidP="0018793D"/>
    <w:p w14:paraId="4381EB21" w14:textId="5F1F3E77" w:rsidR="00CE354E" w:rsidRDefault="00CE354E" w:rsidP="00CE354E">
      <w:pPr>
        <w:rPr>
          <w:rFonts w:eastAsiaTheme="minorHAnsi"/>
        </w:rPr>
      </w:pPr>
      <w:r>
        <w:rPr>
          <w:rFonts w:eastAsiaTheme="minorHAnsi"/>
        </w:rPr>
        <w:t xml:space="preserve">Excluding standing pilot light energy usage and tank heat loss, the Climate Zone 9 OpenStudio baseline model showed approximately 102 therms per residential unit per year for water heating, similar to the 106 therms </w:t>
      </w:r>
      <w:r w:rsidR="003F0784">
        <w:rPr>
          <w:rFonts w:eastAsiaTheme="minorHAnsi"/>
        </w:rPr>
        <w:t>in the</w:t>
      </w:r>
      <w:r>
        <w:rPr>
          <w:rFonts w:eastAsiaTheme="minorHAnsi"/>
        </w:rPr>
        <w:t xml:space="preserve"> DEER Water Heater Calculator</w:t>
      </w:r>
      <w:r w:rsidR="003F0784">
        <w:rPr>
          <w:rFonts w:eastAsiaTheme="minorHAnsi"/>
        </w:rPr>
        <w:t xml:space="preserve"> v2.1</w:t>
      </w:r>
      <w:r>
        <w:rPr>
          <w:rFonts w:eastAsiaTheme="minorHAnsi"/>
        </w:rPr>
        <w:t>. The model shows 51 therms for space heating, which is close to the 56.4 therms in the DEER Thermostat spreadsheet.</w:t>
      </w:r>
    </w:p>
    <w:p w14:paraId="5684EA55" w14:textId="2942F945" w:rsidR="00CE354E" w:rsidRDefault="00CE354E" w:rsidP="00CE354E">
      <w:pPr>
        <w:rPr>
          <w:rFonts w:eastAsiaTheme="minorHAnsi"/>
        </w:rPr>
      </w:pPr>
      <w:r>
        <w:rPr>
          <w:rFonts w:eastAsiaTheme="minorHAnsi"/>
        </w:rPr>
        <w:t>For each pair of baseline and proposed model</w:t>
      </w:r>
      <w:r w:rsidR="003F0784">
        <w:rPr>
          <w:rFonts w:eastAsiaTheme="minorHAnsi"/>
        </w:rPr>
        <w:t>s</w:t>
      </w:r>
      <w:r>
        <w:rPr>
          <w:rFonts w:eastAsiaTheme="minorHAnsi"/>
        </w:rPr>
        <w:t>, the only difference is the supply water setpoint temperature. For the baseline models, the setpoint is fixed at 135</w:t>
      </w:r>
      <w:r w:rsidR="0018793D">
        <w:rPr>
          <w:rFonts w:eastAsiaTheme="minorHAnsi"/>
        </w:rPr>
        <w:t xml:space="preserve"> </w:t>
      </w:r>
      <w:r>
        <w:rPr>
          <w:rFonts w:eastAsiaTheme="minorHAnsi"/>
        </w:rPr>
        <w:t>°F. The proposed models have linear outdoor air reset. The setpoint is fixed at 135</w:t>
      </w:r>
      <w:r w:rsidR="0018793D">
        <w:rPr>
          <w:rFonts w:eastAsiaTheme="minorHAnsi"/>
        </w:rPr>
        <w:t xml:space="preserve"> </w:t>
      </w:r>
      <w:r>
        <w:rPr>
          <w:rFonts w:eastAsiaTheme="minorHAnsi"/>
        </w:rPr>
        <w:t>°F at outdoor temperatures less than or equal to 55</w:t>
      </w:r>
      <w:r w:rsidR="0018793D">
        <w:rPr>
          <w:rFonts w:eastAsiaTheme="minorHAnsi"/>
        </w:rPr>
        <w:t xml:space="preserve"> </w:t>
      </w:r>
      <w:r>
        <w:rPr>
          <w:rFonts w:eastAsiaTheme="minorHAnsi"/>
        </w:rPr>
        <w:t>°F, it</w:t>
      </w:r>
      <w:r w:rsidR="003F0784">
        <w:rPr>
          <w:rFonts w:eastAsiaTheme="minorHAnsi"/>
        </w:rPr>
        <w:t xml:space="preserve"> i</w:t>
      </w:r>
      <w:r>
        <w:rPr>
          <w:rFonts w:eastAsiaTheme="minorHAnsi"/>
        </w:rPr>
        <w:t>s fixed at 120°F for outdoor temperatures greater than or equal to 75</w:t>
      </w:r>
      <w:r w:rsidR="0018793D">
        <w:rPr>
          <w:rFonts w:eastAsiaTheme="minorHAnsi"/>
        </w:rPr>
        <w:t xml:space="preserve"> </w:t>
      </w:r>
      <w:r>
        <w:rPr>
          <w:rFonts w:eastAsiaTheme="minorHAnsi"/>
        </w:rPr>
        <w:t>°</w:t>
      </w:r>
      <w:r w:rsidR="003F0784">
        <w:rPr>
          <w:rFonts w:eastAsiaTheme="minorHAnsi"/>
        </w:rPr>
        <w:t>F and</w:t>
      </w:r>
      <w:r>
        <w:rPr>
          <w:rFonts w:eastAsiaTheme="minorHAnsi"/>
        </w:rPr>
        <w:t xml:space="preserve"> </w:t>
      </w:r>
      <w:r w:rsidR="003F0784">
        <w:rPr>
          <w:rFonts w:eastAsiaTheme="minorHAnsi"/>
        </w:rPr>
        <w:t>is</w:t>
      </w:r>
      <w:r>
        <w:rPr>
          <w:rFonts w:eastAsiaTheme="minorHAnsi"/>
        </w:rPr>
        <w:t xml:space="preserve"> linear in between. The screenshots show the baseline and proposed supply water temperature and setpoint for Climate Zone 9.</w:t>
      </w:r>
    </w:p>
    <w:p w14:paraId="441E9B31" w14:textId="77777777" w:rsidR="00CE354E" w:rsidRDefault="00CE354E" w:rsidP="004204C5">
      <w:pPr>
        <w:keepNext/>
        <w:keepLines/>
        <w:rPr>
          <w:rFonts w:eastAsiaTheme="minorHAnsi"/>
        </w:rPr>
      </w:pPr>
      <w:r>
        <w:rPr>
          <w:noProof/>
        </w:rPr>
        <w:lastRenderedPageBreak/>
        <w:drawing>
          <wp:inline distT="0" distB="0" distL="0" distR="0" wp14:anchorId="5530F12E" wp14:editId="19281939">
            <wp:extent cx="5303520" cy="2448934"/>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03520" cy="2448934"/>
                    </a:xfrm>
                    <a:prstGeom prst="rect">
                      <a:avLst/>
                    </a:prstGeom>
                    <a:noFill/>
                    <a:ln>
                      <a:noFill/>
                    </a:ln>
                  </pic:spPr>
                </pic:pic>
              </a:graphicData>
            </a:graphic>
          </wp:inline>
        </w:drawing>
      </w:r>
    </w:p>
    <w:p w14:paraId="6534783F" w14:textId="09618ED5" w:rsidR="00CE354E" w:rsidRPr="007E13B7" w:rsidRDefault="00CE354E" w:rsidP="004204C5">
      <w:pPr>
        <w:pStyle w:val="Caption"/>
      </w:pPr>
      <w:bookmarkStart w:id="57" w:name="_Toc514140449"/>
      <w:r w:rsidRPr="007E13B7">
        <w:t>Climate Zone 9 Baseline Heating Supply Water Temperature and Setpoint</w:t>
      </w:r>
      <w:bookmarkEnd w:id="57"/>
    </w:p>
    <w:p w14:paraId="28F5F3BC" w14:textId="77777777" w:rsidR="00CE354E" w:rsidRDefault="00CE354E" w:rsidP="0018793D"/>
    <w:p w14:paraId="7E944DE2" w14:textId="77777777" w:rsidR="00CE354E" w:rsidRDefault="00CE354E" w:rsidP="004204C5">
      <w:pPr>
        <w:rPr>
          <w:rFonts w:eastAsiaTheme="minorHAnsi"/>
        </w:rPr>
      </w:pPr>
      <w:r>
        <w:rPr>
          <w:noProof/>
        </w:rPr>
        <w:drawing>
          <wp:inline distT="0" distB="0" distL="0" distR="0" wp14:anchorId="37B62589" wp14:editId="425C151A">
            <wp:extent cx="5303520" cy="242166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3520" cy="2421664"/>
                    </a:xfrm>
                    <a:prstGeom prst="rect">
                      <a:avLst/>
                    </a:prstGeom>
                    <a:noFill/>
                    <a:ln>
                      <a:noFill/>
                    </a:ln>
                  </pic:spPr>
                </pic:pic>
              </a:graphicData>
            </a:graphic>
          </wp:inline>
        </w:drawing>
      </w:r>
    </w:p>
    <w:p w14:paraId="1A7CC819" w14:textId="7EB12EC8" w:rsidR="00CE354E" w:rsidRPr="00FD217E" w:rsidRDefault="00CE354E" w:rsidP="00B809CE">
      <w:pPr>
        <w:pStyle w:val="Caption"/>
      </w:pPr>
      <w:bookmarkStart w:id="58" w:name="_Toc514140450"/>
      <w:r w:rsidRPr="00FD217E">
        <w:t>Climate Zone 9 Proposed Heating Supply Water Temperature and Setpoint</w:t>
      </w:r>
      <w:bookmarkEnd w:id="58"/>
    </w:p>
    <w:p w14:paraId="40151743" w14:textId="7068A4EB" w:rsidR="00CE354E" w:rsidRDefault="00CE354E" w:rsidP="00334B29">
      <w:pPr>
        <w:spacing w:after="0"/>
        <w:rPr>
          <w:rFonts w:eastAsiaTheme="minorHAnsi"/>
        </w:rPr>
      </w:pPr>
    </w:p>
    <w:p w14:paraId="6298C6F6" w14:textId="336559EE" w:rsidR="00CE354E" w:rsidRDefault="00CE354E" w:rsidP="00CE354E">
      <w:pPr>
        <w:rPr>
          <w:rFonts w:cstheme="minorHAnsi"/>
          <w:szCs w:val="22"/>
        </w:rPr>
      </w:pPr>
      <w:r>
        <w:rPr>
          <w:rFonts w:cstheme="minorHAnsi"/>
          <w:szCs w:val="22"/>
        </w:rPr>
        <w:t>The OpenStudio gas savings results per residential unit are shown in the below table.</w:t>
      </w:r>
      <w:r w:rsidR="00F4070D">
        <w:rPr>
          <w:rStyle w:val="FootnoteReference"/>
          <w:rFonts w:cstheme="minorHAnsi"/>
          <w:szCs w:val="22"/>
        </w:rPr>
        <w:footnoteReference w:id="11"/>
      </w:r>
      <w:r>
        <w:rPr>
          <w:rFonts w:cstheme="minorHAnsi"/>
          <w:szCs w:val="22"/>
        </w:rPr>
        <w:t xml:space="preserve"> The energy savings at the primary pump is not shown because it was less than 1 kWh per residential unit. Pump savings would be higher for higher primary pump head and/or flow rate. </w:t>
      </w:r>
    </w:p>
    <w:p w14:paraId="1A15AF79" w14:textId="6E5CB1B4" w:rsidR="00CE354E" w:rsidRPr="00920905" w:rsidRDefault="00CE354E" w:rsidP="00B809CE">
      <w:pPr>
        <w:pStyle w:val="Caption"/>
      </w:pPr>
      <w:bookmarkStart w:id="59" w:name="_Toc517096831"/>
      <w:r>
        <w:lastRenderedPageBreak/>
        <w:t>OpenStudio Gas Savings Results</w:t>
      </w:r>
      <w:bookmarkEnd w:id="59"/>
    </w:p>
    <w:tbl>
      <w:tblPr>
        <w:tblStyle w:val="TableGrid1"/>
        <w:tblW w:w="4073" w:type="pct"/>
        <w:tblLook w:val="01E0" w:firstRow="1" w:lastRow="1" w:firstColumn="1" w:lastColumn="1" w:noHBand="0" w:noVBand="0"/>
      </w:tblPr>
      <w:tblGrid>
        <w:gridCol w:w="1519"/>
        <w:gridCol w:w="1501"/>
        <w:gridCol w:w="1647"/>
        <w:gridCol w:w="1475"/>
        <w:gridCol w:w="1475"/>
      </w:tblGrid>
      <w:tr w:rsidR="00CE354E" w:rsidRPr="004B0F35" w14:paraId="2C30C96A" w14:textId="77777777" w:rsidTr="009C2046">
        <w:trPr>
          <w:trHeight w:val="20"/>
        </w:trPr>
        <w:tc>
          <w:tcPr>
            <w:tcW w:w="998" w:type="pct"/>
            <w:vMerge w:val="restart"/>
            <w:shd w:val="clear" w:color="auto" w:fill="D9D9D9" w:themeFill="background1" w:themeFillShade="D9"/>
            <w:vAlign w:val="bottom"/>
          </w:tcPr>
          <w:p w14:paraId="4CF98235" w14:textId="77777777" w:rsidR="00CE354E" w:rsidRPr="004B0F35" w:rsidRDefault="00CE354E" w:rsidP="00FA1F0D">
            <w:pPr>
              <w:spacing w:after="0"/>
              <w:rPr>
                <w:rFonts w:cstheme="minorHAnsi"/>
                <w:b/>
                <w:sz w:val="20"/>
                <w:highlight w:val="yellow"/>
              </w:rPr>
            </w:pPr>
            <w:r w:rsidRPr="004B0F35">
              <w:rPr>
                <w:rFonts w:cstheme="minorHAnsi"/>
                <w:b/>
                <w:sz w:val="20"/>
              </w:rPr>
              <w:t>Climate Zone</w:t>
            </w:r>
          </w:p>
        </w:tc>
        <w:tc>
          <w:tcPr>
            <w:tcW w:w="4002" w:type="pct"/>
            <w:gridSpan w:val="4"/>
            <w:shd w:val="clear" w:color="auto" w:fill="D9D9D9" w:themeFill="background1" w:themeFillShade="D9"/>
            <w:vAlign w:val="bottom"/>
          </w:tcPr>
          <w:p w14:paraId="1B050F83" w14:textId="77777777" w:rsidR="00CE354E" w:rsidRPr="00F4070D" w:rsidRDefault="00CE354E" w:rsidP="00FA1F0D">
            <w:pPr>
              <w:spacing w:after="0"/>
              <w:rPr>
                <w:rFonts w:cs="Calibri Light"/>
                <w:b/>
                <w:sz w:val="20"/>
              </w:rPr>
            </w:pPr>
            <w:r w:rsidRPr="00F4070D">
              <w:rPr>
                <w:rFonts w:cs="Calibri Light"/>
                <w:b/>
                <w:bCs/>
                <w:color w:val="000000"/>
                <w:sz w:val="20"/>
              </w:rPr>
              <w:t>Boiler Gas Usage [therms/unit/yr]</w:t>
            </w:r>
          </w:p>
        </w:tc>
      </w:tr>
      <w:tr w:rsidR="00CE354E" w:rsidRPr="004B0F35" w14:paraId="436EE4B0" w14:textId="77777777" w:rsidTr="009C2046">
        <w:trPr>
          <w:trHeight w:val="20"/>
        </w:trPr>
        <w:tc>
          <w:tcPr>
            <w:tcW w:w="998" w:type="pct"/>
            <w:vMerge/>
            <w:shd w:val="clear" w:color="auto" w:fill="D9D9D9" w:themeFill="background1" w:themeFillShade="D9"/>
          </w:tcPr>
          <w:p w14:paraId="66ABC385" w14:textId="77777777" w:rsidR="00CE354E" w:rsidRPr="004B0F35" w:rsidRDefault="00CE354E" w:rsidP="00FA1F0D">
            <w:pPr>
              <w:spacing w:after="0"/>
              <w:rPr>
                <w:rFonts w:cstheme="minorHAnsi"/>
                <w:b/>
                <w:sz w:val="20"/>
              </w:rPr>
            </w:pPr>
          </w:p>
        </w:tc>
        <w:tc>
          <w:tcPr>
            <w:tcW w:w="985" w:type="pct"/>
            <w:shd w:val="clear" w:color="auto" w:fill="D9D9D9" w:themeFill="background1" w:themeFillShade="D9"/>
            <w:vAlign w:val="bottom"/>
          </w:tcPr>
          <w:p w14:paraId="6678A140" w14:textId="77777777" w:rsidR="00CE354E" w:rsidRPr="004B0F35" w:rsidRDefault="00CE354E" w:rsidP="00FA1F0D">
            <w:pPr>
              <w:spacing w:after="0"/>
              <w:rPr>
                <w:rFonts w:cstheme="minorHAnsi"/>
                <w:b/>
                <w:sz w:val="20"/>
              </w:rPr>
            </w:pPr>
            <w:r w:rsidRPr="004B0F35">
              <w:rPr>
                <w:rFonts w:cstheme="minorHAnsi"/>
                <w:b/>
                <w:sz w:val="20"/>
              </w:rPr>
              <w:t>Baseline</w:t>
            </w:r>
          </w:p>
        </w:tc>
        <w:tc>
          <w:tcPr>
            <w:tcW w:w="1081" w:type="pct"/>
            <w:shd w:val="clear" w:color="auto" w:fill="D9D9D9" w:themeFill="background1" w:themeFillShade="D9"/>
            <w:vAlign w:val="bottom"/>
          </w:tcPr>
          <w:p w14:paraId="3CCF0F95" w14:textId="77777777" w:rsidR="00CE354E" w:rsidRPr="004B0F35" w:rsidRDefault="00CE354E" w:rsidP="00FA1F0D">
            <w:pPr>
              <w:spacing w:after="0"/>
              <w:rPr>
                <w:rFonts w:cstheme="minorHAnsi"/>
                <w:b/>
                <w:sz w:val="20"/>
              </w:rPr>
            </w:pPr>
            <w:r w:rsidRPr="004B0F35">
              <w:rPr>
                <w:rFonts w:cstheme="minorHAnsi"/>
                <w:b/>
                <w:sz w:val="20"/>
              </w:rPr>
              <w:t>Proposed</w:t>
            </w:r>
          </w:p>
        </w:tc>
        <w:tc>
          <w:tcPr>
            <w:tcW w:w="968" w:type="pct"/>
            <w:shd w:val="clear" w:color="auto" w:fill="D9D9D9" w:themeFill="background1" w:themeFillShade="D9"/>
            <w:vAlign w:val="bottom"/>
          </w:tcPr>
          <w:p w14:paraId="6E95A037" w14:textId="77777777" w:rsidR="00CE354E" w:rsidRPr="004B0F35" w:rsidRDefault="00CE354E" w:rsidP="00FA1F0D">
            <w:pPr>
              <w:spacing w:after="0"/>
              <w:rPr>
                <w:rFonts w:cstheme="minorHAnsi"/>
                <w:b/>
                <w:sz w:val="20"/>
              </w:rPr>
            </w:pPr>
            <w:r w:rsidRPr="004B0F35">
              <w:rPr>
                <w:rFonts w:cstheme="minorHAnsi"/>
                <w:b/>
                <w:sz w:val="20"/>
              </w:rPr>
              <w:t>Savings</w:t>
            </w:r>
          </w:p>
        </w:tc>
        <w:tc>
          <w:tcPr>
            <w:tcW w:w="968" w:type="pct"/>
            <w:shd w:val="clear" w:color="auto" w:fill="D9D9D9" w:themeFill="background1" w:themeFillShade="D9"/>
            <w:vAlign w:val="bottom"/>
          </w:tcPr>
          <w:p w14:paraId="7D305D0E" w14:textId="3F4ACB48" w:rsidR="00CE354E" w:rsidRPr="004B0F35" w:rsidRDefault="00CE354E" w:rsidP="00FA1F0D">
            <w:pPr>
              <w:spacing w:after="0"/>
              <w:rPr>
                <w:rFonts w:cstheme="minorHAnsi"/>
                <w:b/>
                <w:sz w:val="20"/>
              </w:rPr>
            </w:pPr>
            <w:r w:rsidRPr="004B0F35">
              <w:rPr>
                <w:rFonts w:cstheme="minorHAnsi"/>
                <w:b/>
                <w:sz w:val="20"/>
              </w:rPr>
              <w:t>Savings [%</w:t>
            </w:r>
            <w:r w:rsidR="00F4070D">
              <w:rPr>
                <w:rFonts w:cstheme="minorHAnsi"/>
                <w:b/>
                <w:sz w:val="20"/>
              </w:rPr>
              <w:t xml:space="preserve"> of baseline</w:t>
            </w:r>
            <w:r w:rsidRPr="004B0F35">
              <w:rPr>
                <w:rFonts w:cstheme="minorHAnsi"/>
                <w:b/>
                <w:sz w:val="20"/>
              </w:rPr>
              <w:t>]</w:t>
            </w:r>
          </w:p>
        </w:tc>
      </w:tr>
      <w:tr w:rsidR="00CE354E" w:rsidRPr="004B0F35" w14:paraId="0CF38953" w14:textId="77777777" w:rsidTr="009C2046">
        <w:trPr>
          <w:trHeight w:val="20"/>
        </w:trPr>
        <w:tc>
          <w:tcPr>
            <w:tcW w:w="998" w:type="pct"/>
          </w:tcPr>
          <w:p w14:paraId="1047FE7F" w14:textId="77777777" w:rsidR="00CE354E" w:rsidRPr="004B0F35" w:rsidRDefault="00CE354E" w:rsidP="00FA1F0D">
            <w:pPr>
              <w:spacing w:after="0" w:line="240" w:lineRule="auto"/>
              <w:rPr>
                <w:rFonts w:cstheme="minorHAnsi"/>
                <w:sz w:val="20"/>
              </w:rPr>
            </w:pPr>
            <w:r w:rsidRPr="004B0F35">
              <w:rPr>
                <w:sz w:val="20"/>
              </w:rPr>
              <w:t>6</w:t>
            </w:r>
          </w:p>
        </w:tc>
        <w:tc>
          <w:tcPr>
            <w:tcW w:w="985" w:type="pct"/>
          </w:tcPr>
          <w:p w14:paraId="34FAF759" w14:textId="77777777" w:rsidR="00CE354E" w:rsidRPr="004B0F35" w:rsidRDefault="00CE354E" w:rsidP="00FA1F0D">
            <w:pPr>
              <w:spacing w:after="0" w:line="240" w:lineRule="auto"/>
              <w:rPr>
                <w:rFonts w:cstheme="minorHAnsi"/>
                <w:sz w:val="20"/>
              </w:rPr>
            </w:pPr>
            <w:r w:rsidRPr="004B0F35">
              <w:rPr>
                <w:sz w:val="20"/>
              </w:rPr>
              <w:t>303.6</w:t>
            </w:r>
          </w:p>
        </w:tc>
        <w:tc>
          <w:tcPr>
            <w:tcW w:w="1081" w:type="pct"/>
          </w:tcPr>
          <w:p w14:paraId="1AEFE76D" w14:textId="77777777" w:rsidR="00CE354E" w:rsidRPr="004B0F35" w:rsidRDefault="00CE354E" w:rsidP="00FA1F0D">
            <w:pPr>
              <w:spacing w:after="0" w:line="240" w:lineRule="auto"/>
              <w:rPr>
                <w:sz w:val="20"/>
              </w:rPr>
            </w:pPr>
            <w:r w:rsidRPr="004B0F35">
              <w:rPr>
                <w:sz w:val="20"/>
              </w:rPr>
              <w:t>290.9</w:t>
            </w:r>
          </w:p>
        </w:tc>
        <w:tc>
          <w:tcPr>
            <w:tcW w:w="968" w:type="pct"/>
          </w:tcPr>
          <w:p w14:paraId="008E0F20" w14:textId="77777777" w:rsidR="00CE354E" w:rsidRPr="004B0F35" w:rsidRDefault="00CE354E" w:rsidP="00FA1F0D">
            <w:pPr>
              <w:spacing w:after="0" w:line="240" w:lineRule="auto"/>
              <w:rPr>
                <w:b/>
                <w:sz w:val="20"/>
              </w:rPr>
            </w:pPr>
            <w:r w:rsidRPr="004B0F35">
              <w:rPr>
                <w:b/>
                <w:sz w:val="20"/>
              </w:rPr>
              <w:t>12.68</w:t>
            </w:r>
          </w:p>
        </w:tc>
        <w:tc>
          <w:tcPr>
            <w:tcW w:w="968" w:type="pct"/>
          </w:tcPr>
          <w:p w14:paraId="64E6FFE3" w14:textId="77777777" w:rsidR="00CE354E" w:rsidRPr="004B0F35" w:rsidRDefault="00CE354E" w:rsidP="00FA1F0D">
            <w:pPr>
              <w:spacing w:after="0" w:line="240" w:lineRule="auto"/>
              <w:rPr>
                <w:b/>
                <w:sz w:val="20"/>
              </w:rPr>
            </w:pPr>
            <w:r w:rsidRPr="004B0F35">
              <w:rPr>
                <w:b/>
                <w:sz w:val="20"/>
              </w:rPr>
              <w:t>4.2%</w:t>
            </w:r>
          </w:p>
        </w:tc>
      </w:tr>
      <w:tr w:rsidR="00CE354E" w:rsidRPr="004B0F35" w14:paraId="5846A647" w14:textId="77777777" w:rsidTr="009C2046">
        <w:trPr>
          <w:trHeight w:val="20"/>
        </w:trPr>
        <w:tc>
          <w:tcPr>
            <w:tcW w:w="998" w:type="pct"/>
          </w:tcPr>
          <w:p w14:paraId="75E7FCA2" w14:textId="77777777" w:rsidR="00CE354E" w:rsidRPr="004B0F35" w:rsidRDefault="00CE354E" w:rsidP="00FA1F0D">
            <w:pPr>
              <w:spacing w:after="0" w:line="240" w:lineRule="auto"/>
              <w:rPr>
                <w:rFonts w:cstheme="minorHAnsi"/>
                <w:sz w:val="20"/>
              </w:rPr>
            </w:pPr>
            <w:r w:rsidRPr="004B0F35">
              <w:rPr>
                <w:sz w:val="20"/>
              </w:rPr>
              <w:t>9</w:t>
            </w:r>
          </w:p>
        </w:tc>
        <w:tc>
          <w:tcPr>
            <w:tcW w:w="985" w:type="pct"/>
          </w:tcPr>
          <w:p w14:paraId="5FD3B7A1" w14:textId="77777777" w:rsidR="00CE354E" w:rsidRPr="004B0F35" w:rsidRDefault="00CE354E" w:rsidP="00FA1F0D">
            <w:pPr>
              <w:spacing w:after="0" w:line="240" w:lineRule="auto"/>
              <w:rPr>
                <w:rFonts w:cstheme="minorHAnsi"/>
                <w:sz w:val="20"/>
              </w:rPr>
            </w:pPr>
            <w:r w:rsidRPr="004B0F35">
              <w:rPr>
                <w:sz w:val="20"/>
              </w:rPr>
              <w:t>292.4</w:t>
            </w:r>
          </w:p>
        </w:tc>
        <w:tc>
          <w:tcPr>
            <w:tcW w:w="1081" w:type="pct"/>
          </w:tcPr>
          <w:p w14:paraId="5838812A" w14:textId="77777777" w:rsidR="00CE354E" w:rsidRPr="004B0F35" w:rsidRDefault="00CE354E" w:rsidP="00FA1F0D">
            <w:pPr>
              <w:spacing w:after="0" w:line="240" w:lineRule="auto"/>
              <w:rPr>
                <w:sz w:val="20"/>
              </w:rPr>
            </w:pPr>
            <w:r w:rsidRPr="004B0F35">
              <w:rPr>
                <w:sz w:val="20"/>
              </w:rPr>
              <w:t>278.2</w:t>
            </w:r>
          </w:p>
        </w:tc>
        <w:tc>
          <w:tcPr>
            <w:tcW w:w="968" w:type="pct"/>
          </w:tcPr>
          <w:p w14:paraId="0AC014C2" w14:textId="77777777" w:rsidR="00CE354E" w:rsidRPr="004B0F35" w:rsidRDefault="00CE354E" w:rsidP="00FA1F0D">
            <w:pPr>
              <w:spacing w:after="0" w:line="240" w:lineRule="auto"/>
              <w:rPr>
                <w:b/>
                <w:sz w:val="20"/>
              </w:rPr>
            </w:pPr>
            <w:r w:rsidRPr="004B0F35">
              <w:rPr>
                <w:b/>
                <w:sz w:val="20"/>
              </w:rPr>
              <w:t>14.16</w:t>
            </w:r>
          </w:p>
        </w:tc>
        <w:tc>
          <w:tcPr>
            <w:tcW w:w="968" w:type="pct"/>
          </w:tcPr>
          <w:p w14:paraId="05E90A8E" w14:textId="77777777" w:rsidR="00CE354E" w:rsidRPr="004B0F35" w:rsidRDefault="00CE354E" w:rsidP="00FA1F0D">
            <w:pPr>
              <w:spacing w:after="0" w:line="240" w:lineRule="auto"/>
              <w:rPr>
                <w:b/>
                <w:sz w:val="20"/>
              </w:rPr>
            </w:pPr>
            <w:r w:rsidRPr="004B0F35">
              <w:rPr>
                <w:b/>
                <w:sz w:val="20"/>
              </w:rPr>
              <w:t>4.8%</w:t>
            </w:r>
          </w:p>
        </w:tc>
      </w:tr>
      <w:tr w:rsidR="00CE354E" w:rsidRPr="004B0F35" w14:paraId="269DB1E2" w14:textId="77777777" w:rsidTr="009C2046">
        <w:trPr>
          <w:trHeight w:val="20"/>
        </w:trPr>
        <w:tc>
          <w:tcPr>
            <w:tcW w:w="998" w:type="pct"/>
          </w:tcPr>
          <w:p w14:paraId="2965D094" w14:textId="77777777" w:rsidR="00CE354E" w:rsidRPr="004B0F35" w:rsidRDefault="00CE354E" w:rsidP="00FA1F0D">
            <w:pPr>
              <w:spacing w:after="0" w:line="240" w:lineRule="auto"/>
              <w:rPr>
                <w:rFonts w:cstheme="minorHAnsi"/>
                <w:sz w:val="20"/>
              </w:rPr>
            </w:pPr>
            <w:r w:rsidRPr="004B0F35">
              <w:rPr>
                <w:sz w:val="20"/>
              </w:rPr>
              <w:t>16</w:t>
            </w:r>
          </w:p>
        </w:tc>
        <w:tc>
          <w:tcPr>
            <w:tcW w:w="985" w:type="pct"/>
          </w:tcPr>
          <w:p w14:paraId="41FF8EFD" w14:textId="77777777" w:rsidR="00CE354E" w:rsidRPr="004B0F35" w:rsidRDefault="00CE354E" w:rsidP="00FA1F0D">
            <w:pPr>
              <w:spacing w:after="0" w:line="240" w:lineRule="auto"/>
              <w:rPr>
                <w:rFonts w:cstheme="minorHAnsi"/>
                <w:sz w:val="20"/>
              </w:rPr>
            </w:pPr>
            <w:r w:rsidRPr="004B0F35">
              <w:rPr>
                <w:sz w:val="20"/>
              </w:rPr>
              <w:t>521.0</w:t>
            </w:r>
          </w:p>
        </w:tc>
        <w:tc>
          <w:tcPr>
            <w:tcW w:w="1081" w:type="pct"/>
          </w:tcPr>
          <w:p w14:paraId="041D55DB" w14:textId="77777777" w:rsidR="00CE354E" w:rsidRPr="004B0F35" w:rsidRDefault="00CE354E" w:rsidP="00FA1F0D">
            <w:pPr>
              <w:spacing w:after="0" w:line="240" w:lineRule="auto"/>
              <w:rPr>
                <w:sz w:val="20"/>
              </w:rPr>
            </w:pPr>
            <w:r w:rsidRPr="004B0F35">
              <w:rPr>
                <w:sz w:val="20"/>
              </w:rPr>
              <w:t>513.1</w:t>
            </w:r>
          </w:p>
        </w:tc>
        <w:tc>
          <w:tcPr>
            <w:tcW w:w="968" w:type="pct"/>
          </w:tcPr>
          <w:p w14:paraId="74737325" w14:textId="77777777" w:rsidR="00CE354E" w:rsidRPr="004B0F35" w:rsidRDefault="00CE354E" w:rsidP="00FA1F0D">
            <w:pPr>
              <w:spacing w:after="0" w:line="240" w:lineRule="auto"/>
              <w:rPr>
                <w:b/>
                <w:sz w:val="20"/>
              </w:rPr>
            </w:pPr>
            <w:r w:rsidRPr="004B0F35">
              <w:rPr>
                <w:b/>
                <w:sz w:val="20"/>
              </w:rPr>
              <w:t>7.98</w:t>
            </w:r>
          </w:p>
        </w:tc>
        <w:tc>
          <w:tcPr>
            <w:tcW w:w="968" w:type="pct"/>
          </w:tcPr>
          <w:p w14:paraId="0C154250" w14:textId="77777777" w:rsidR="00CE354E" w:rsidRPr="004B0F35" w:rsidRDefault="00CE354E" w:rsidP="00FA1F0D">
            <w:pPr>
              <w:spacing w:after="0" w:line="240" w:lineRule="auto"/>
              <w:rPr>
                <w:b/>
                <w:sz w:val="20"/>
              </w:rPr>
            </w:pPr>
            <w:r w:rsidRPr="004B0F35">
              <w:rPr>
                <w:b/>
                <w:sz w:val="20"/>
              </w:rPr>
              <w:t>1.5%</w:t>
            </w:r>
          </w:p>
        </w:tc>
      </w:tr>
    </w:tbl>
    <w:p w14:paraId="30D91146" w14:textId="77777777" w:rsidR="00C41FBE" w:rsidRDefault="00C41FBE" w:rsidP="00CE354E"/>
    <w:p w14:paraId="0ABDF522" w14:textId="5A96B6D4" w:rsidR="00CE354E" w:rsidRDefault="00CE354E" w:rsidP="00CE354E">
      <w:r>
        <w:t xml:space="preserve">The table </w:t>
      </w:r>
      <w:r w:rsidR="004728DA">
        <w:t xml:space="preserve">below </w:t>
      </w:r>
      <w:r>
        <w:t>includes a breakdown of gas savings by end use.</w:t>
      </w:r>
      <w:r w:rsidR="004728DA">
        <w:rPr>
          <w:rStyle w:val="FootnoteReference"/>
          <w:rFonts w:cstheme="minorHAnsi"/>
          <w:szCs w:val="22"/>
        </w:rPr>
        <w:footnoteReference w:id="12"/>
      </w:r>
      <w:r>
        <w:t xml:space="preserve"> The end use categories are domestic hot water, heating hot water, tank heat loss, pipe heat loss, and a small uncategorized amount that might be due to a minor software issue. Heat transfer from the pump to the fluid offset a small portion of heating demand. OpenStudio reports demand in Btu/hr, but those values were converted here to therms using the boiler efficiency of 80%. The only way to vary boiler efficiency in OpenStudio is to input an efficiency curve that can vary with boiler firing rate and/or return water temperature. OpenStudio does not account for short cycling, nor is it easy to implement two boiler firing stages. For these reasons and since constant speed boiler pumping (i.e., primary pumping) is standard at these boiler capacities, the boiler was simply modeled as having only one stage, no firing rate modulation, and constant speed primary pumping.</w:t>
      </w:r>
    </w:p>
    <w:p w14:paraId="267C8186" w14:textId="6FA0B1D7" w:rsidR="00CE354E" w:rsidRPr="00FA1F0D" w:rsidRDefault="00CE354E" w:rsidP="00CE354E">
      <w:r>
        <w:t xml:space="preserve">As shown in the first column under Gas Savings, essentially all the savings come from the pipe heat loss reduction, as expected. The Baseline Gas Usage Percent of Demand column shows that when pipe heat loss is a greater portion of the total building gas demand, then outside air reset yields more savings. Pipe heat loss is higher for larger piping systems, higher flow rates, and higher set point temperatures. </w:t>
      </w:r>
    </w:p>
    <w:p w14:paraId="1181CB99" w14:textId="24AF2917" w:rsidR="00CE354E" w:rsidRDefault="00CE354E" w:rsidP="00B809CE">
      <w:pPr>
        <w:pStyle w:val="Caption"/>
      </w:pPr>
      <w:bookmarkStart w:id="60" w:name="_Toc517096832"/>
      <w:r>
        <w:t>OpenStudio Gas Savings by End Use</w:t>
      </w:r>
      <w:bookmarkEnd w:id="60"/>
    </w:p>
    <w:tbl>
      <w:tblPr>
        <w:tblW w:w="5000" w:type="pct"/>
        <w:tblLook w:val="04A0" w:firstRow="1" w:lastRow="0" w:firstColumn="1" w:lastColumn="0" w:noHBand="0" w:noVBand="1"/>
      </w:tblPr>
      <w:tblGrid>
        <w:gridCol w:w="950"/>
        <w:gridCol w:w="2120"/>
        <w:gridCol w:w="1104"/>
        <w:gridCol w:w="1104"/>
        <w:gridCol w:w="1106"/>
        <w:gridCol w:w="1108"/>
        <w:gridCol w:w="925"/>
        <w:gridCol w:w="923"/>
      </w:tblGrid>
      <w:tr w:rsidR="00CE354E" w:rsidRPr="004B0F35" w14:paraId="0A09B864" w14:textId="77777777" w:rsidTr="004728DA">
        <w:trPr>
          <w:trHeight w:val="300"/>
          <w:tblHeader/>
        </w:trPr>
        <w:tc>
          <w:tcPr>
            <w:tcW w:w="509" w:type="pct"/>
            <w:vMerge w:val="restart"/>
            <w:tcBorders>
              <w:top w:val="single" w:sz="8" w:space="0" w:color="auto"/>
              <w:left w:val="single" w:sz="8" w:space="0" w:color="auto"/>
              <w:bottom w:val="single" w:sz="8" w:space="0" w:color="000000"/>
              <w:right w:val="single" w:sz="8" w:space="0" w:color="auto"/>
            </w:tcBorders>
            <w:shd w:val="clear" w:color="000000" w:fill="D9D9D9"/>
            <w:vAlign w:val="bottom"/>
            <w:hideMark/>
          </w:tcPr>
          <w:p w14:paraId="3B6C5EDC" w14:textId="77777777" w:rsidR="00CE354E" w:rsidRPr="004B0F35" w:rsidRDefault="00CE354E" w:rsidP="00667810">
            <w:pPr>
              <w:spacing w:before="0" w:after="0"/>
              <w:jc w:val="center"/>
              <w:rPr>
                <w:rFonts w:cstheme="minorHAnsi"/>
                <w:b/>
                <w:bCs/>
                <w:color w:val="000000"/>
                <w:sz w:val="20"/>
                <w:szCs w:val="20"/>
              </w:rPr>
            </w:pPr>
            <w:r w:rsidRPr="004B0F35">
              <w:rPr>
                <w:rFonts w:cstheme="minorHAnsi"/>
                <w:b/>
                <w:bCs/>
                <w:color w:val="000000"/>
                <w:sz w:val="20"/>
                <w:szCs w:val="20"/>
              </w:rPr>
              <w:t>Climate Zone</w:t>
            </w:r>
          </w:p>
        </w:tc>
        <w:tc>
          <w:tcPr>
            <w:tcW w:w="1135" w:type="pct"/>
            <w:vMerge w:val="restart"/>
            <w:tcBorders>
              <w:top w:val="single" w:sz="8" w:space="0" w:color="auto"/>
              <w:left w:val="single" w:sz="8" w:space="0" w:color="auto"/>
              <w:bottom w:val="single" w:sz="8" w:space="0" w:color="000000"/>
              <w:right w:val="single" w:sz="8" w:space="0" w:color="auto"/>
            </w:tcBorders>
            <w:shd w:val="clear" w:color="000000" w:fill="D9D9D9"/>
            <w:vAlign w:val="bottom"/>
            <w:hideMark/>
          </w:tcPr>
          <w:p w14:paraId="477FF331" w14:textId="77777777" w:rsidR="00CE354E" w:rsidRPr="004B0F35" w:rsidRDefault="00CE354E" w:rsidP="00667810">
            <w:pPr>
              <w:spacing w:before="0" w:after="0"/>
              <w:rPr>
                <w:rFonts w:cstheme="minorHAnsi"/>
                <w:b/>
                <w:bCs/>
                <w:color w:val="000000"/>
                <w:sz w:val="20"/>
                <w:szCs w:val="20"/>
              </w:rPr>
            </w:pPr>
            <w:r w:rsidRPr="004B0F35">
              <w:rPr>
                <w:rFonts w:cstheme="minorHAnsi"/>
                <w:b/>
                <w:bCs/>
                <w:color w:val="000000"/>
                <w:sz w:val="20"/>
                <w:szCs w:val="20"/>
              </w:rPr>
              <w:t>End Use</w:t>
            </w:r>
          </w:p>
        </w:tc>
        <w:tc>
          <w:tcPr>
            <w:tcW w:w="1182" w:type="pct"/>
            <w:gridSpan w:val="2"/>
            <w:tcBorders>
              <w:top w:val="single" w:sz="8" w:space="0" w:color="auto"/>
              <w:left w:val="nil"/>
              <w:bottom w:val="single" w:sz="8" w:space="0" w:color="auto"/>
              <w:right w:val="single" w:sz="8" w:space="0" w:color="000000"/>
            </w:tcBorders>
            <w:shd w:val="clear" w:color="000000" w:fill="D9D9D9"/>
            <w:vAlign w:val="bottom"/>
            <w:hideMark/>
          </w:tcPr>
          <w:p w14:paraId="12A16D67" w14:textId="77777777" w:rsidR="00CE354E" w:rsidRPr="004B0F35" w:rsidRDefault="00CE354E" w:rsidP="00667810">
            <w:pPr>
              <w:spacing w:before="0" w:after="0"/>
              <w:jc w:val="center"/>
              <w:rPr>
                <w:rFonts w:cstheme="minorHAnsi"/>
                <w:b/>
                <w:bCs/>
                <w:color w:val="000000"/>
                <w:sz w:val="20"/>
                <w:szCs w:val="20"/>
              </w:rPr>
            </w:pPr>
            <w:r w:rsidRPr="004B0F35">
              <w:rPr>
                <w:rFonts w:cstheme="minorHAnsi"/>
                <w:b/>
                <w:bCs/>
                <w:color w:val="000000"/>
                <w:sz w:val="20"/>
                <w:szCs w:val="20"/>
              </w:rPr>
              <w:t>Baseline Gas Usage</w:t>
            </w:r>
          </w:p>
        </w:tc>
        <w:tc>
          <w:tcPr>
            <w:tcW w:w="1185" w:type="pct"/>
            <w:gridSpan w:val="2"/>
            <w:tcBorders>
              <w:top w:val="single" w:sz="8" w:space="0" w:color="auto"/>
              <w:left w:val="nil"/>
              <w:bottom w:val="single" w:sz="8" w:space="0" w:color="auto"/>
              <w:right w:val="single" w:sz="8" w:space="0" w:color="000000"/>
            </w:tcBorders>
            <w:shd w:val="clear" w:color="000000" w:fill="D9D9D9"/>
            <w:vAlign w:val="bottom"/>
            <w:hideMark/>
          </w:tcPr>
          <w:p w14:paraId="55EED0A6" w14:textId="77777777" w:rsidR="00CE354E" w:rsidRPr="004B0F35" w:rsidRDefault="00CE354E" w:rsidP="00667810">
            <w:pPr>
              <w:spacing w:before="0" w:after="0"/>
              <w:jc w:val="center"/>
              <w:rPr>
                <w:rFonts w:cstheme="minorHAnsi"/>
                <w:b/>
                <w:bCs/>
                <w:color w:val="000000"/>
                <w:sz w:val="20"/>
                <w:szCs w:val="20"/>
              </w:rPr>
            </w:pPr>
            <w:r w:rsidRPr="004B0F35">
              <w:rPr>
                <w:rFonts w:cstheme="minorHAnsi"/>
                <w:b/>
                <w:bCs/>
                <w:color w:val="000000"/>
                <w:sz w:val="20"/>
                <w:szCs w:val="20"/>
              </w:rPr>
              <w:t>Proposed Gas Usage</w:t>
            </w:r>
          </w:p>
        </w:tc>
        <w:tc>
          <w:tcPr>
            <w:tcW w:w="989" w:type="pct"/>
            <w:gridSpan w:val="2"/>
            <w:tcBorders>
              <w:top w:val="single" w:sz="8" w:space="0" w:color="auto"/>
              <w:left w:val="nil"/>
              <w:bottom w:val="single" w:sz="8" w:space="0" w:color="auto"/>
              <w:right w:val="single" w:sz="8" w:space="0" w:color="000000"/>
            </w:tcBorders>
            <w:shd w:val="clear" w:color="000000" w:fill="D9D9D9"/>
            <w:vAlign w:val="bottom"/>
            <w:hideMark/>
          </w:tcPr>
          <w:p w14:paraId="45C74E0A" w14:textId="77777777" w:rsidR="00CE354E" w:rsidRPr="004B0F35" w:rsidRDefault="00CE354E" w:rsidP="00667810">
            <w:pPr>
              <w:spacing w:before="0" w:after="0"/>
              <w:jc w:val="center"/>
              <w:rPr>
                <w:rFonts w:cstheme="minorHAnsi"/>
                <w:b/>
                <w:bCs/>
                <w:color w:val="000000"/>
                <w:sz w:val="20"/>
                <w:szCs w:val="20"/>
              </w:rPr>
            </w:pPr>
            <w:r w:rsidRPr="004B0F35">
              <w:rPr>
                <w:rFonts w:cstheme="minorHAnsi"/>
                <w:b/>
                <w:bCs/>
                <w:color w:val="000000"/>
                <w:sz w:val="20"/>
                <w:szCs w:val="20"/>
              </w:rPr>
              <w:t>Gas Savings</w:t>
            </w:r>
          </w:p>
        </w:tc>
      </w:tr>
      <w:tr w:rsidR="00CE354E" w:rsidRPr="004B0F35" w14:paraId="23699612" w14:textId="77777777" w:rsidTr="004728DA">
        <w:trPr>
          <w:trHeight w:val="600"/>
          <w:tblHeader/>
        </w:trPr>
        <w:tc>
          <w:tcPr>
            <w:tcW w:w="509" w:type="pct"/>
            <w:vMerge/>
            <w:tcBorders>
              <w:top w:val="single" w:sz="8" w:space="0" w:color="auto"/>
              <w:left w:val="single" w:sz="8" w:space="0" w:color="auto"/>
              <w:bottom w:val="single" w:sz="8" w:space="0" w:color="000000"/>
              <w:right w:val="single" w:sz="8" w:space="0" w:color="auto"/>
            </w:tcBorders>
            <w:vAlign w:val="center"/>
            <w:hideMark/>
          </w:tcPr>
          <w:p w14:paraId="31F3973E" w14:textId="77777777" w:rsidR="00CE354E" w:rsidRPr="004B0F35" w:rsidRDefault="00CE354E" w:rsidP="00667810">
            <w:pPr>
              <w:spacing w:before="0" w:after="0"/>
              <w:rPr>
                <w:rFonts w:cstheme="minorHAnsi"/>
                <w:b/>
                <w:bCs/>
                <w:color w:val="000000"/>
                <w:sz w:val="20"/>
                <w:szCs w:val="20"/>
              </w:rPr>
            </w:pPr>
          </w:p>
        </w:tc>
        <w:tc>
          <w:tcPr>
            <w:tcW w:w="1135" w:type="pct"/>
            <w:vMerge/>
            <w:tcBorders>
              <w:top w:val="single" w:sz="8" w:space="0" w:color="auto"/>
              <w:left w:val="single" w:sz="8" w:space="0" w:color="auto"/>
              <w:bottom w:val="single" w:sz="8" w:space="0" w:color="000000"/>
              <w:right w:val="single" w:sz="8" w:space="0" w:color="auto"/>
            </w:tcBorders>
            <w:vAlign w:val="center"/>
            <w:hideMark/>
          </w:tcPr>
          <w:p w14:paraId="68FDE0DD" w14:textId="77777777" w:rsidR="00CE354E" w:rsidRPr="004B0F35" w:rsidRDefault="00CE354E" w:rsidP="00667810">
            <w:pPr>
              <w:spacing w:before="0" w:after="0"/>
              <w:rPr>
                <w:rFonts w:cstheme="minorHAnsi"/>
                <w:b/>
                <w:bCs/>
                <w:color w:val="000000"/>
                <w:sz w:val="20"/>
                <w:szCs w:val="20"/>
              </w:rPr>
            </w:pPr>
          </w:p>
        </w:tc>
        <w:tc>
          <w:tcPr>
            <w:tcW w:w="591" w:type="pct"/>
            <w:tcBorders>
              <w:top w:val="nil"/>
              <w:left w:val="nil"/>
              <w:bottom w:val="single" w:sz="8" w:space="0" w:color="auto"/>
              <w:right w:val="single" w:sz="8" w:space="0" w:color="auto"/>
            </w:tcBorders>
            <w:shd w:val="clear" w:color="000000" w:fill="D9D9D9"/>
            <w:vAlign w:val="bottom"/>
            <w:hideMark/>
          </w:tcPr>
          <w:p w14:paraId="6EA87917"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therms/</w:t>
            </w:r>
            <w:r w:rsidRPr="004B0F35">
              <w:rPr>
                <w:rFonts w:cstheme="minorHAnsi"/>
                <w:b/>
                <w:bCs/>
                <w:color w:val="000000"/>
                <w:sz w:val="20"/>
                <w:szCs w:val="20"/>
              </w:rPr>
              <w:br/>
              <w:t>unit/yr</w:t>
            </w:r>
          </w:p>
        </w:tc>
        <w:tc>
          <w:tcPr>
            <w:tcW w:w="591" w:type="pct"/>
            <w:tcBorders>
              <w:top w:val="nil"/>
              <w:left w:val="nil"/>
              <w:bottom w:val="single" w:sz="8" w:space="0" w:color="auto"/>
              <w:right w:val="single" w:sz="8" w:space="0" w:color="auto"/>
            </w:tcBorders>
            <w:shd w:val="clear" w:color="000000" w:fill="D9D9D9"/>
            <w:vAlign w:val="bottom"/>
            <w:hideMark/>
          </w:tcPr>
          <w:p w14:paraId="503A5C65"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Percent of Demand</w:t>
            </w:r>
          </w:p>
        </w:tc>
        <w:tc>
          <w:tcPr>
            <w:tcW w:w="592" w:type="pct"/>
            <w:tcBorders>
              <w:top w:val="nil"/>
              <w:left w:val="nil"/>
              <w:bottom w:val="single" w:sz="8" w:space="0" w:color="auto"/>
              <w:right w:val="single" w:sz="8" w:space="0" w:color="auto"/>
            </w:tcBorders>
            <w:shd w:val="clear" w:color="000000" w:fill="D9D9D9"/>
            <w:vAlign w:val="bottom"/>
            <w:hideMark/>
          </w:tcPr>
          <w:p w14:paraId="69F75E0A"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therms/</w:t>
            </w:r>
            <w:r w:rsidRPr="004B0F35">
              <w:rPr>
                <w:rFonts w:cstheme="minorHAnsi"/>
                <w:b/>
                <w:bCs/>
                <w:color w:val="000000"/>
                <w:sz w:val="20"/>
                <w:szCs w:val="20"/>
              </w:rPr>
              <w:br/>
              <w:t>unit/yr</w:t>
            </w:r>
          </w:p>
        </w:tc>
        <w:tc>
          <w:tcPr>
            <w:tcW w:w="593" w:type="pct"/>
            <w:tcBorders>
              <w:top w:val="nil"/>
              <w:left w:val="nil"/>
              <w:bottom w:val="single" w:sz="8" w:space="0" w:color="auto"/>
              <w:right w:val="single" w:sz="8" w:space="0" w:color="auto"/>
            </w:tcBorders>
            <w:shd w:val="clear" w:color="000000" w:fill="D9D9D9"/>
            <w:vAlign w:val="bottom"/>
            <w:hideMark/>
          </w:tcPr>
          <w:p w14:paraId="51DF8D2F"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Percent of Demand</w:t>
            </w:r>
          </w:p>
        </w:tc>
        <w:tc>
          <w:tcPr>
            <w:tcW w:w="495" w:type="pct"/>
            <w:tcBorders>
              <w:top w:val="nil"/>
              <w:left w:val="nil"/>
              <w:bottom w:val="single" w:sz="8" w:space="0" w:color="auto"/>
              <w:right w:val="single" w:sz="8" w:space="0" w:color="auto"/>
            </w:tcBorders>
            <w:shd w:val="clear" w:color="000000" w:fill="D9D9D9"/>
            <w:vAlign w:val="bottom"/>
            <w:hideMark/>
          </w:tcPr>
          <w:p w14:paraId="08381EF7"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therms/</w:t>
            </w:r>
            <w:r w:rsidRPr="004B0F35">
              <w:rPr>
                <w:rFonts w:cstheme="minorHAnsi"/>
                <w:b/>
                <w:bCs/>
                <w:color w:val="000000"/>
                <w:sz w:val="20"/>
                <w:szCs w:val="20"/>
              </w:rPr>
              <w:br/>
              <w:t>unit/yr</w:t>
            </w:r>
          </w:p>
        </w:tc>
        <w:tc>
          <w:tcPr>
            <w:tcW w:w="494" w:type="pct"/>
            <w:tcBorders>
              <w:top w:val="nil"/>
              <w:left w:val="nil"/>
              <w:bottom w:val="nil"/>
              <w:right w:val="single" w:sz="8" w:space="0" w:color="auto"/>
            </w:tcBorders>
            <w:shd w:val="clear" w:color="000000" w:fill="D9D9D9"/>
            <w:vAlign w:val="bottom"/>
            <w:hideMark/>
          </w:tcPr>
          <w:p w14:paraId="6C08A9DE" w14:textId="77777777" w:rsidR="00CE354E" w:rsidRPr="004B0F35" w:rsidRDefault="00CE354E" w:rsidP="005A0EE0">
            <w:pPr>
              <w:spacing w:before="0" w:after="0"/>
              <w:jc w:val="center"/>
              <w:rPr>
                <w:rFonts w:cstheme="minorHAnsi"/>
                <w:b/>
                <w:bCs/>
                <w:color w:val="000000"/>
                <w:sz w:val="20"/>
                <w:szCs w:val="20"/>
              </w:rPr>
            </w:pPr>
            <w:r w:rsidRPr="004B0F35">
              <w:rPr>
                <w:rFonts w:cstheme="minorHAnsi"/>
                <w:b/>
                <w:bCs/>
                <w:color w:val="000000"/>
                <w:sz w:val="20"/>
                <w:szCs w:val="20"/>
              </w:rPr>
              <w:t>Percent</w:t>
            </w:r>
          </w:p>
        </w:tc>
      </w:tr>
      <w:tr w:rsidR="00CE354E" w:rsidRPr="004B0F35" w14:paraId="0D1FBC6A" w14:textId="77777777" w:rsidTr="00CE354E">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24AF0416" w14:textId="77777777" w:rsidR="00CE354E" w:rsidRPr="004B0F35" w:rsidRDefault="00CE354E" w:rsidP="00667810">
            <w:pPr>
              <w:spacing w:before="0" w:after="0"/>
              <w:jc w:val="center"/>
              <w:rPr>
                <w:rFonts w:cstheme="minorHAnsi"/>
                <w:color w:val="000000"/>
                <w:sz w:val="20"/>
                <w:szCs w:val="20"/>
              </w:rPr>
            </w:pPr>
            <w:r w:rsidRPr="004B0F35">
              <w:rPr>
                <w:rFonts w:cstheme="minorHAnsi"/>
                <w:color w:val="000000"/>
                <w:sz w:val="20"/>
                <w:szCs w:val="20"/>
              </w:rPr>
              <w:t>6</w:t>
            </w:r>
          </w:p>
        </w:tc>
        <w:tc>
          <w:tcPr>
            <w:tcW w:w="1135" w:type="pct"/>
            <w:tcBorders>
              <w:top w:val="nil"/>
              <w:left w:val="nil"/>
              <w:bottom w:val="single" w:sz="8" w:space="0" w:color="auto"/>
              <w:right w:val="single" w:sz="8" w:space="0" w:color="auto"/>
            </w:tcBorders>
            <w:shd w:val="clear" w:color="auto" w:fill="auto"/>
            <w:noWrap/>
            <w:vAlign w:val="bottom"/>
            <w:hideMark/>
          </w:tcPr>
          <w:p w14:paraId="693C87C5"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5231913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106.06</w:t>
            </w:r>
          </w:p>
        </w:tc>
        <w:tc>
          <w:tcPr>
            <w:tcW w:w="591" w:type="pct"/>
            <w:tcBorders>
              <w:top w:val="nil"/>
              <w:left w:val="nil"/>
              <w:bottom w:val="single" w:sz="8" w:space="0" w:color="auto"/>
              <w:right w:val="single" w:sz="8" w:space="0" w:color="auto"/>
            </w:tcBorders>
            <w:shd w:val="clear" w:color="auto" w:fill="auto"/>
            <w:hideMark/>
          </w:tcPr>
          <w:p w14:paraId="529CE67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33.2%</w:t>
            </w:r>
          </w:p>
        </w:tc>
        <w:tc>
          <w:tcPr>
            <w:tcW w:w="592" w:type="pct"/>
            <w:tcBorders>
              <w:top w:val="nil"/>
              <w:left w:val="nil"/>
              <w:bottom w:val="single" w:sz="8" w:space="0" w:color="auto"/>
              <w:right w:val="single" w:sz="8" w:space="0" w:color="auto"/>
            </w:tcBorders>
            <w:shd w:val="clear" w:color="auto" w:fill="auto"/>
            <w:hideMark/>
          </w:tcPr>
          <w:p w14:paraId="684223E4"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106.06</w:t>
            </w:r>
          </w:p>
        </w:tc>
        <w:tc>
          <w:tcPr>
            <w:tcW w:w="593" w:type="pct"/>
            <w:tcBorders>
              <w:top w:val="nil"/>
              <w:left w:val="nil"/>
              <w:bottom w:val="single" w:sz="8" w:space="0" w:color="auto"/>
              <w:right w:val="single" w:sz="8" w:space="0" w:color="auto"/>
            </w:tcBorders>
            <w:shd w:val="clear" w:color="auto" w:fill="auto"/>
            <w:hideMark/>
          </w:tcPr>
          <w:p w14:paraId="4C67D8A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34.6%</w:t>
            </w:r>
          </w:p>
        </w:tc>
        <w:tc>
          <w:tcPr>
            <w:tcW w:w="495" w:type="pct"/>
            <w:tcBorders>
              <w:top w:val="nil"/>
              <w:left w:val="nil"/>
              <w:bottom w:val="single" w:sz="8" w:space="0" w:color="auto"/>
              <w:right w:val="nil"/>
            </w:tcBorders>
            <w:shd w:val="clear" w:color="auto" w:fill="auto"/>
            <w:hideMark/>
          </w:tcPr>
          <w:p w14:paraId="46EFCEBE"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single" w:sz="8" w:space="0" w:color="auto"/>
              <w:left w:val="single" w:sz="8" w:space="0" w:color="auto"/>
              <w:bottom w:val="nil"/>
              <w:right w:val="single" w:sz="8" w:space="0" w:color="auto"/>
            </w:tcBorders>
            <w:shd w:val="clear" w:color="000000" w:fill="F2F2F2"/>
            <w:hideMark/>
          </w:tcPr>
          <w:p w14:paraId="78DB38D2" w14:textId="77777777" w:rsidR="00CE354E" w:rsidRPr="004B0F35" w:rsidRDefault="00CE354E" w:rsidP="00667810">
            <w:pPr>
              <w:spacing w:before="0" w:after="0"/>
              <w:rPr>
                <w:rFonts w:cstheme="minorHAnsi"/>
                <w:color w:val="000000"/>
                <w:sz w:val="20"/>
                <w:szCs w:val="20"/>
              </w:rPr>
            </w:pPr>
          </w:p>
        </w:tc>
      </w:tr>
      <w:tr w:rsidR="00CE354E" w:rsidRPr="004B0F35" w14:paraId="6AA1A875"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158BE62F"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330A4AFA"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2CEB319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51.24</w:t>
            </w:r>
          </w:p>
        </w:tc>
        <w:tc>
          <w:tcPr>
            <w:tcW w:w="591" w:type="pct"/>
            <w:tcBorders>
              <w:top w:val="nil"/>
              <w:left w:val="nil"/>
              <w:bottom w:val="single" w:sz="8" w:space="0" w:color="auto"/>
              <w:right w:val="single" w:sz="8" w:space="0" w:color="auto"/>
            </w:tcBorders>
            <w:shd w:val="clear" w:color="auto" w:fill="auto"/>
            <w:hideMark/>
          </w:tcPr>
          <w:p w14:paraId="55DB10E0"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16.1%</w:t>
            </w:r>
          </w:p>
        </w:tc>
        <w:tc>
          <w:tcPr>
            <w:tcW w:w="592" w:type="pct"/>
            <w:tcBorders>
              <w:top w:val="nil"/>
              <w:left w:val="nil"/>
              <w:bottom w:val="single" w:sz="8" w:space="0" w:color="auto"/>
              <w:right w:val="single" w:sz="8" w:space="0" w:color="auto"/>
            </w:tcBorders>
            <w:shd w:val="clear" w:color="auto" w:fill="auto"/>
            <w:hideMark/>
          </w:tcPr>
          <w:p w14:paraId="50234E1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51.24</w:t>
            </w:r>
          </w:p>
        </w:tc>
        <w:tc>
          <w:tcPr>
            <w:tcW w:w="593" w:type="pct"/>
            <w:tcBorders>
              <w:top w:val="nil"/>
              <w:left w:val="nil"/>
              <w:bottom w:val="single" w:sz="8" w:space="0" w:color="auto"/>
              <w:right w:val="single" w:sz="8" w:space="0" w:color="auto"/>
            </w:tcBorders>
            <w:shd w:val="clear" w:color="auto" w:fill="auto"/>
            <w:hideMark/>
          </w:tcPr>
          <w:p w14:paraId="7577DE0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16.7%</w:t>
            </w:r>
          </w:p>
        </w:tc>
        <w:tc>
          <w:tcPr>
            <w:tcW w:w="495" w:type="pct"/>
            <w:tcBorders>
              <w:top w:val="nil"/>
              <w:left w:val="nil"/>
              <w:bottom w:val="single" w:sz="8" w:space="0" w:color="auto"/>
              <w:right w:val="nil"/>
            </w:tcBorders>
            <w:shd w:val="clear" w:color="auto" w:fill="auto"/>
            <w:hideMark/>
          </w:tcPr>
          <w:p w14:paraId="128EE28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0E944EDA" w14:textId="77777777" w:rsidR="00CE354E" w:rsidRPr="004B0F35" w:rsidRDefault="00CE354E" w:rsidP="00667810">
            <w:pPr>
              <w:spacing w:before="0" w:after="0"/>
              <w:rPr>
                <w:rFonts w:cstheme="minorHAnsi"/>
                <w:color w:val="000000"/>
                <w:sz w:val="20"/>
                <w:szCs w:val="20"/>
              </w:rPr>
            </w:pPr>
          </w:p>
        </w:tc>
      </w:tr>
      <w:tr w:rsidR="00CE354E" w:rsidRPr="004B0F35" w14:paraId="7DCA7B2A"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6C8713C"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2ACF7BE"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20A911E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5.15</w:t>
            </w:r>
          </w:p>
        </w:tc>
        <w:tc>
          <w:tcPr>
            <w:tcW w:w="591" w:type="pct"/>
            <w:tcBorders>
              <w:top w:val="nil"/>
              <w:left w:val="nil"/>
              <w:bottom w:val="single" w:sz="8" w:space="0" w:color="auto"/>
              <w:right w:val="single" w:sz="8" w:space="0" w:color="auto"/>
            </w:tcBorders>
            <w:shd w:val="clear" w:color="auto" w:fill="auto"/>
            <w:hideMark/>
          </w:tcPr>
          <w:p w14:paraId="1120E1F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w:t>
            </w:r>
          </w:p>
        </w:tc>
        <w:tc>
          <w:tcPr>
            <w:tcW w:w="592" w:type="pct"/>
            <w:tcBorders>
              <w:top w:val="nil"/>
              <w:left w:val="nil"/>
              <w:bottom w:val="single" w:sz="8" w:space="0" w:color="auto"/>
              <w:right w:val="single" w:sz="8" w:space="0" w:color="auto"/>
            </w:tcBorders>
            <w:shd w:val="clear" w:color="auto" w:fill="auto"/>
            <w:hideMark/>
          </w:tcPr>
          <w:p w14:paraId="3589EE7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4.75</w:t>
            </w:r>
          </w:p>
        </w:tc>
        <w:tc>
          <w:tcPr>
            <w:tcW w:w="593" w:type="pct"/>
            <w:tcBorders>
              <w:top w:val="nil"/>
              <w:left w:val="nil"/>
              <w:bottom w:val="single" w:sz="8" w:space="0" w:color="auto"/>
              <w:right w:val="single" w:sz="8" w:space="0" w:color="auto"/>
            </w:tcBorders>
            <w:shd w:val="clear" w:color="auto" w:fill="auto"/>
            <w:hideMark/>
          </w:tcPr>
          <w:p w14:paraId="078F13D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w:t>
            </w:r>
          </w:p>
        </w:tc>
        <w:tc>
          <w:tcPr>
            <w:tcW w:w="495" w:type="pct"/>
            <w:tcBorders>
              <w:top w:val="nil"/>
              <w:left w:val="nil"/>
              <w:bottom w:val="single" w:sz="8" w:space="0" w:color="auto"/>
              <w:right w:val="nil"/>
            </w:tcBorders>
            <w:shd w:val="clear" w:color="auto" w:fill="auto"/>
            <w:hideMark/>
          </w:tcPr>
          <w:p w14:paraId="16F9F90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0.40</w:t>
            </w:r>
          </w:p>
        </w:tc>
        <w:tc>
          <w:tcPr>
            <w:tcW w:w="494" w:type="pct"/>
            <w:tcBorders>
              <w:top w:val="nil"/>
              <w:left w:val="single" w:sz="8" w:space="0" w:color="auto"/>
              <w:bottom w:val="nil"/>
              <w:right w:val="single" w:sz="8" w:space="0" w:color="auto"/>
            </w:tcBorders>
            <w:shd w:val="clear" w:color="000000" w:fill="F2F2F2"/>
            <w:hideMark/>
          </w:tcPr>
          <w:p w14:paraId="0ED4338E" w14:textId="77777777" w:rsidR="00CE354E" w:rsidRPr="004B0F35" w:rsidRDefault="00CE354E" w:rsidP="00667810">
            <w:pPr>
              <w:spacing w:before="0" w:after="0"/>
              <w:rPr>
                <w:rFonts w:cstheme="minorHAnsi"/>
                <w:color w:val="000000"/>
                <w:sz w:val="20"/>
                <w:szCs w:val="20"/>
              </w:rPr>
            </w:pPr>
          </w:p>
        </w:tc>
      </w:tr>
      <w:tr w:rsidR="00CE354E" w:rsidRPr="004B0F35" w14:paraId="407DACE5"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BE3FD62"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547C6DA5"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Pipe Heat Loss</w:t>
            </w:r>
          </w:p>
        </w:tc>
        <w:tc>
          <w:tcPr>
            <w:tcW w:w="591" w:type="pct"/>
            <w:tcBorders>
              <w:top w:val="nil"/>
              <w:left w:val="nil"/>
              <w:bottom w:val="single" w:sz="8" w:space="0" w:color="auto"/>
              <w:right w:val="single" w:sz="8" w:space="0" w:color="auto"/>
            </w:tcBorders>
            <w:shd w:val="clear" w:color="auto" w:fill="auto"/>
            <w:hideMark/>
          </w:tcPr>
          <w:p w14:paraId="44873300"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156.09</w:t>
            </w:r>
          </w:p>
        </w:tc>
        <w:tc>
          <w:tcPr>
            <w:tcW w:w="591" w:type="pct"/>
            <w:tcBorders>
              <w:top w:val="nil"/>
              <w:left w:val="nil"/>
              <w:bottom w:val="single" w:sz="8" w:space="0" w:color="auto"/>
              <w:right w:val="single" w:sz="8" w:space="0" w:color="auto"/>
            </w:tcBorders>
            <w:shd w:val="clear" w:color="auto" w:fill="auto"/>
            <w:hideMark/>
          </w:tcPr>
          <w:p w14:paraId="11BC5B9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48.9%</w:t>
            </w:r>
          </w:p>
        </w:tc>
        <w:tc>
          <w:tcPr>
            <w:tcW w:w="592" w:type="pct"/>
            <w:tcBorders>
              <w:top w:val="nil"/>
              <w:left w:val="nil"/>
              <w:bottom w:val="single" w:sz="8" w:space="0" w:color="auto"/>
              <w:right w:val="single" w:sz="8" w:space="0" w:color="auto"/>
            </w:tcBorders>
            <w:shd w:val="clear" w:color="auto" w:fill="auto"/>
            <w:hideMark/>
          </w:tcPr>
          <w:p w14:paraId="0212B2D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143.86</w:t>
            </w:r>
          </w:p>
        </w:tc>
        <w:tc>
          <w:tcPr>
            <w:tcW w:w="593" w:type="pct"/>
            <w:tcBorders>
              <w:top w:val="nil"/>
              <w:left w:val="nil"/>
              <w:bottom w:val="single" w:sz="8" w:space="0" w:color="auto"/>
              <w:right w:val="single" w:sz="8" w:space="0" w:color="auto"/>
            </w:tcBorders>
            <w:shd w:val="clear" w:color="auto" w:fill="auto"/>
            <w:hideMark/>
          </w:tcPr>
          <w:p w14:paraId="22635C57"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47.0%</w:t>
            </w:r>
          </w:p>
        </w:tc>
        <w:tc>
          <w:tcPr>
            <w:tcW w:w="495" w:type="pct"/>
            <w:tcBorders>
              <w:top w:val="nil"/>
              <w:left w:val="nil"/>
              <w:bottom w:val="single" w:sz="8" w:space="0" w:color="auto"/>
              <w:right w:val="nil"/>
            </w:tcBorders>
            <w:shd w:val="clear" w:color="auto" w:fill="auto"/>
            <w:hideMark/>
          </w:tcPr>
          <w:p w14:paraId="58DA299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12.24</w:t>
            </w:r>
          </w:p>
        </w:tc>
        <w:tc>
          <w:tcPr>
            <w:tcW w:w="494" w:type="pct"/>
            <w:tcBorders>
              <w:top w:val="nil"/>
              <w:left w:val="single" w:sz="8" w:space="0" w:color="auto"/>
              <w:bottom w:val="nil"/>
              <w:right w:val="single" w:sz="8" w:space="0" w:color="auto"/>
            </w:tcBorders>
            <w:shd w:val="clear" w:color="000000" w:fill="F2F2F2"/>
            <w:hideMark/>
          </w:tcPr>
          <w:p w14:paraId="447B1266" w14:textId="77777777" w:rsidR="00CE354E" w:rsidRPr="004B0F35" w:rsidRDefault="00CE354E" w:rsidP="00667810">
            <w:pPr>
              <w:spacing w:before="0" w:after="0"/>
              <w:rPr>
                <w:rFonts w:cstheme="minorHAnsi"/>
                <w:color w:val="000000"/>
                <w:sz w:val="20"/>
                <w:szCs w:val="20"/>
              </w:rPr>
            </w:pPr>
          </w:p>
        </w:tc>
      </w:tr>
      <w:tr w:rsidR="00CE354E" w:rsidRPr="004B0F35" w14:paraId="60BAB87E"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305E9EDD"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39015DAD"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04738414"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0.43</w:t>
            </w:r>
          </w:p>
        </w:tc>
        <w:tc>
          <w:tcPr>
            <w:tcW w:w="591" w:type="pct"/>
            <w:tcBorders>
              <w:top w:val="nil"/>
              <w:left w:val="nil"/>
              <w:bottom w:val="single" w:sz="8" w:space="0" w:color="auto"/>
              <w:right w:val="single" w:sz="8" w:space="0" w:color="auto"/>
            </w:tcBorders>
            <w:shd w:val="clear" w:color="auto" w:fill="auto"/>
            <w:hideMark/>
          </w:tcPr>
          <w:p w14:paraId="5E9E98A7"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0.1%</w:t>
            </w:r>
          </w:p>
        </w:tc>
        <w:tc>
          <w:tcPr>
            <w:tcW w:w="592" w:type="pct"/>
            <w:tcBorders>
              <w:top w:val="nil"/>
              <w:left w:val="nil"/>
              <w:bottom w:val="single" w:sz="8" w:space="0" w:color="auto"/>
              <w:right w:val="single" w:sz="8" w:space="0" w:color="auto"/>
            </w:tcBorders>
            <w:shd w:val="clear" w:color="auto" w:fill="auto"/>
            <w:hideMark/>
          </w:tcPr>
          <w:p w14:paraId="0553310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0.38</w:t>
            </w:r>
          </w:p>
        </w:tc>
        <w:tc>
          <w:tcPr>
            <w:tcW w:w="593" w:type="pct"/>
            <w:tcBorders>
              <w:top w:val="nil"/>
              <w:left w:val="nil"/>
              <w:bottom w:val="single" w:sz="8" w:space="0" w:color="auto"/>
              <w:right w:val="single" w:sz="8" w:space="0" w:color="auto"/>
            </w:tcBorders>
            <w:shd w:val="clear" w:color="auto" w:fill="auto"/>
            <w:hideMark/>
          </w:tcPr>
          <w:p w14:paraId="638BFA9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0.1%</w:t>
            </w:r>
          </w:p>
        </w:tc>
        <w:tc>
          <w:tcPr>
            <w:tcW w:w="495" w:type="pct"/>
            <w:tcBorders>
              <w:top w:val="nil"/>
              <w:left w:val="nil"/>
              <w:bottom w:val="single" w:sz="8" w:space="0" w:color="auto"/>
              <w:right w:val="nil"/>
            </w:tcBorders>
            <w:shd w:val="clear" w:color="auto" w:fill="auto"/>
            <w:hideMark/>
          </w:tcPr>
          <w:p w14:paraId="0C1A073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5D92B871" w14:textId="77777777" w:rsidR="00CE354E" w:rsidRPr="004B0F35" w:rsidRDefault="00CE354E" w:rsidP="00667810">
            <w:pPr>
              <w:spacing w:before="0" w:after="0"/>
              <w:rPr>
                <w:rFonts w:cstheme="minorHAnsi"/>
                <w:color w:val="000000"/>
                <w:sz w:val="20"/>
                <w:szCs w:val="20"/>
              </w:rPr>
            </w:pPr>
          </w:p>
        </w:tc>
      </w:tr>
      <w:tr w:rsidR="00CE354E" w:rsidRPr="004B0F35" w14:paraId="3109BDA1"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764493C2"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3FE57F73"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62572FE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318.99</w:t>
            </w:r>
          </w:p>
        </w:tc>
        <w:tc>
          <w:tcPr>
            <w:tcW w:w="591" w:type="pct"/>
            <w:tcBorders>
              <w:top w:val="nil"/>
              <w:left w:val="nil"/>
              <w:bottom w:val="nil"/>
              <w:right w:val="single" w:sz="8" w:space="0" w:color="auto"/>
            </w:tcBorders>
            <w:shd w:val="clear" w:color="auto" w:fill="auto"/>
            <w:hideMark/>
          </w:tcPr>
          <w:p w14:paraId="45D6661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4D16AB9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306.29</w:t>
            </w:r>
          </w:p>
        </w:tc>
        <w:tc>
          <w:tcPr>
            <w:tcW w:w="593" w:type="pct"/>
            <w:tcBorders>
              <w:top w:val="nil"/>
              <w:left w:val="nil"/>
              <w:bottom w:val="nil"/>
              <w:right w:val="single" w:sz="8" w:space="0" w:color="auto"/>
            </w:tcBorders>
            <w:shd w:val="clear" w:color="auto" w:fill="auto"/>
            <w:hideMark/>
          </w:tcPr>
          <w:p w14:paraId="79C26F2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332F82E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12.70</w:t>
            </w:r>
          </w:p>
        </w:tc>
        <w:tc>
          <w:tcPr>
            <w:tcW w:w="494" w:type="pct"/>
            <w:tcBorders>
              <w:top w:val="nil"/>
              <w:left w:val="single" w:sz="8" w:space="0" w:color="auto"/>
              <w:bottom w:val="nil"/>
              <w:right w:val="single" w:sz="8" w:space="0" w:color="auto"/>
            </w:tcBorders>
            <w:shd w:val="clear" w:color="000000" w:fill="F2F2F2"/>
            <w:hideMark/>
          </w:tcPr>
          <w:p w14:paraId="40BD1635" w14:textId="77777777" w:rsidR="00CE354E" w:rsidRPr="004B0F35" w:rsidRDefault="00CE354E" w:rsidP="00667810">
            <w:pPr>
              <w:spacing w:before="0" w:after="0"/>
              <w:rPr>
                <w:rFonts w:cstheme="minorHAnsi"/>
                <w:color w:val="000000"/>
                <w:sz w:val="20"/>
                <w:szCs w:val="20"/>
              </w:rPr>
            </w:pPr>
          </w:p>
        </w:tc>
      </w:tr>
      <w:tr w:rsidR="00CE354E" w:rsidRPr="004B0F35" w14:paraId="4EF9709A"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DBCA32D"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28CCDF73"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Pump Heat In</w:t>
            </w:r>
          </w:p>
        </w:tc>
        <w:tc>
          <w:tcPr>
            <w:tcW w:w="591" w:type="pct"/>
            <w:tcBorders>
              <w:top w:val="nil"/>
              <w:left w:val="nil"/>
              <w:bottom w:val="single" w:sz="8" w:space="0" w:color="auto"/>
              <w:right w:val="nil"/>
            </w:tcBorders>
            <w:shd w:val="clear" w:color="auto" w:fill="auto"/>
            <w:hideMark/>
          </w:tcPr>
          <w:p w14:paraId="56A4FA0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-15.42</w:t>
            </w:r>
          </w:p>
        </w:tc>
        <w:tc>
          <w:tcPr>
            <w:tcW w:w="591" w:type="pct"/>
            <w:tcBorders>
              <w:top w:val="single" w:sz="8" w:space="0" w:color="auto"/>
              <w:left w:val="single" w:sz="8" w:space="0" w:color="auto"/>
              <w:bottom w:val="nil"/>
              <w:right w:val="single" w:sz="8" w:space="0" w:color="auto"/>
            </w:tcBorders>
            <w:shd w:val="clear" w:color="000000" w:fill="F2F2F2"/>
            <w:hideMark/>
          </w:tcPr>
          <w:p w14:paraId="12196BD7"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744AC38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-15.40</w:t>
            </w:r>
          </w:p>
        </w:tc>
        <w:tc>
          <w:tcPr>
            <w:tcW w:w="593" w:type="pct"/>
            <w:tcBorders>
              <w:top w:val="single" w:sz="8" w:space="0" w:color="auto"/>
              <w:left w:val="single" w:sz="8" w:space="0" w:color="auto"/>
              <w:bottom w:val="nil"/>
              <w:right w:val="single" w:sz="8" w:space="0" w:color="auto"/>
            </w:tcBorders>
            <w:shd w:val="clear" w:color="000000" w:fill="F2F2F2"/>
            <w:hideMark/>
          </w:tcPr>
          <w:p w14:paraId="733C53F4"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6C6DBB2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-0.02</w:t>
            </w:r>
          </w:p>
        </w:tc>
        <w:tc>
          <w:tcPr>
            <w:tcW w:w="494" w:type="pct"/>
            <w:tcBorders>
              <w:top w:val="nil"/>
              <w:left w:val="single" w:sz="8" w:space="0" w:color="auto"/>
              <w:bottom w:val="single" w:sz="8" w:space="0" w:color="auto"/>
              <w:right w:val="single" w:sz="8" w:space="0" w:color="auto"/>
            </w:tcBorders>
            <w:shd w:val="clear" w:color="000000" w:fill="F2F2F2"/>
            <w:hideMark/>
          </w:tcPr>
          <w:p w14:paraId="48B12586" w14:textId="77777777" w:rsidR="00CE354E" w:rsidRPr="004B0F35" w:rsidRDefault="00CE354E" w:rsidP="00667810">
            <w:pPr>
              <w:spacing w:before="0" w:after="0"/>
              <w:rPr>
                <w:rFonts w:cstheme="minorHAnsi"/>
                <w:color w:val="000000"/>
                <w:sz w:val="20"/>
                <w:szCs w:val="20"/>
              </w:rPr>
            </w:pPr>
          </w:p>
        </w:tc>
      </w:tr>
      <w:tr w:rsidR="00CE354E" w:rsidRPr="004B0F35" w14:paraId="58430971"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261A580"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07170C60"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1A426F6E"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303.57</w:t>
            </w:r>
          </w:p>
        </w:tc>
        <w:tc>
          <w:tcPr>
            <w:tcW w:w="591" w:type="pct"/>
            <w:tcBorders>
              <w:top w:val="nil"/>
              <w:left w:val="single" w:sz="8" w:space="0" w:color="auto"/>
              <w:bottom w:val="single" w:sz="8" w:space="0" w:color="auto"/>
              <w:right w:val="single" w:sz="8" w:space="0" w:color="auto"/>
            </w:tcBorders>
            <w:shd w:val="clear" w:color="000000" w:fill="F2F2F2"/>
            <w:hideMark/>
          </w:tcPr>
          <w:p w14:paraId="01B99D6A"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48D8A5C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290.89</w:t>
            </w:r>
          </w:p>
        </w:tc>
        <w:tc>
          <w:tcPr>
            <w:tcW w:w="593" w:type="pct"/>
            <w:tcBorders>
              <w:top w:val="nil"/>
              <w:left w:val="single" w:sz="8" w:space="0" w:color="auto"/>
              <w:bottom w:val="single" w:sz="8" w:space="0" w:color="auto"/>
              <w:right w:val="single" w:sz="8" w:space="0" w:color="auto"/>
            </w:tcBorders>
            <w:shd w:val="clear" w:color="000000" w:fill="F2F2F2"/>
            <w:hideMark/>
          </w:tcPr>
          <w:p w14:paraId="3A5D8F74"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325527CA"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12.68</w:t>
            </w:r>
          </w:p>
        </w:tc>
        <w:tc>
          <w:tcPr>
            <w:tcW w:w="494" w:type="pct"/>
            <w:tcBorders>
              <w:top w:val="nil"/>
              <w:left w:val="nil"/>
              <w:bottom w:val="single" w:sz="8" w:space="0" w:color="auto"/>
              <w:right w:val="single" w:sz="8" w:space="0" w:color="auto"/>
            </w:tcBorders>
            <w:shd w:val="clear" w:color="auto" w:fill="auto"/>
            <w:hideMark/>
          </w:tcPr>
          <w:p w14:paraId="07E43146"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4.2%</w:t>
            </w:r>
          </w:p>
        </w:tc>
      </w:tr>
      <w:tr w:rsidR="00CE354E" w:rsidRPr="004B0F35" w14:paraId="1EC7102C" w14:textId="77777777" w:rsidTr="00CE354E">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1ECE2B0A" w14:textId="77777777" w:rsidR="00CE354E" w:rsidRPr="004B0F35" w:rsidRDefault="00CE354E" w:rsidP="00667810">
            <w:pPr>
              <w:spacing w:before="0" w:after="0"/>
              <w:jc w:val="center"/>
              <w:rPr>
                <w:rFonts w:cstheme="minorHAnsi"/>
                <w:color w:val="000000"/>
                <w:sz w:val="20"/>
                <w:szCs w:val="20"/>
              </w:rPr>
            </w:pPr>
            <w:r w:rsidRPr="004B0F35">
              <w:rPr>
                <w:rFonts w:cstheme="minorHAnsi"/>
                <w:color w:val="000000"/>
                <w:sz w:val="20"/>
                <w:szCs w:val="20"/>
              </w:rPr>
              <w:t>9</w:t>
            </w:r>
          </w:p>
        </w:tc>
        <w:tc>
          <w:tcPr>
            <w:tcW w:w="1135" w:type="pct"/>
            <w:tcBorders>
              <w:top w:val="nil"/>
              <w:left w:val="nil"/>
              <w:bottom w:val="single" w:sz="8" w:space="0" w:color="auto"/>
              <w:right w:val="single" w:sz="8" w:space="0" w:color="auto"/>
            </w:tcBorders>
            <w:shd w:val="clear" w:color="auto" w:fill="auto"/>
            <w:noWrap/>
            <w:vAlign w:val="bottom"/>
            <w:hideMark/>
          </w:tcPr>
          <w:p w14:paraId="6655E331"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07F9B05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101.94</w:t>
            </w:r>
          </w:p>
        </w:tc>
        <w:tc>
          <w:tcPr>
            <w:tcW w:w="591" w:type="pct"/>
            <w:tcBorders>
              <w:top w:val="nil"/>
              <w:left w:val="nil"/>
              <w:bottom w:val="single" w:sz="8" w:space="0" w:color="auto"/>
              <w:right w:val="single" w:sz="8" w:space="0" w:color="auto"/>
            </w:tcBorders>
            <w:shd w:val="clear" w:color="auto" w:fill="auto"/>
            <w:hideMark/>
          </w:tcPr>
          <w:p w14:paraId="10EF7FE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33.1%</w:t>
            </w:r>
          </w:p>
        </w:tc>
        <w:tc>
          <w:tcPr>
            <w:tcW w:w="592" w:type="pct"/>
            <w:tcBorders>
              <w:top w:val="nil"/>
              <w:left w:val="nil"/>
              <w:bottom w:val="single" w:sz="8" w:space="0" w:color="auto"/>
              <w:right w:val="single" w:sz="8" w:space="0" w:color="auto"/>
            </w:tcBorders>
            <w:shd w:val="clear" w:color="auto" w:fill="auto"/>
            <w:hideMark/>
          </w:tcPr>
          <w:p w14:paraId="4F0BA461"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101.94</w:t>
            </w:r>
          </w:p>
        </w:tc>
        <w:tc>
          <w:tcPr>
            <w:tcW w:w="593" w:type="pct"/>
            <w:tcBorders>
              <w:top w:val="nil"/>
              <w:left w:val="nil"/>
              <w:bottom w:val="single" w:sz="8" w:space="0" w:color="auto"/>
              <w:right w:val="single" w:sz="8" w:space="0" w:color="auto"/>
            </w:tcBorders>
            <w:shd w:val="clear" w:color="auto" w:fill="auto"/>
            <w:hideMark/>
          </w:tcPr>
          <w:p w14:paraId="0CADEBB1"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34.7%</w:t>
            </w:r>
          </w:p>
        </w:tc>
        <w:tc>
          <w:tcPr>
            <w:tcW w:w="495" w:type="pct"/>
            <w:tcBorders>
              <w:top w:val="nil"/>
              <w:left w:val="nil"/>
              <w:bottom w:val="single" w:sz="8" w:space="0" w:color="auto"/>
              <w:right w:val="nil"/>
            </w:tcBorders>
            <w:shd w:val="clear" w:color="auto" w:fill="auto"/>
            <w:hideMark/>
          </w:tcPr>
          <w:p w14:paraId="07379F9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7BF27031" w14:textId="77777777" w:rsidR="00CE354E" w:rsidRPr="004B0F35" w:rsidRDefault="00CE354E" w:rsidP="00667810">
            <w:pPr>
              <w:spacing w:before="0" w:after="0"/>
              <w:rPr>
                <w:rFonts w:cstheme="minorHAnsi"/>
                <w:color w:val="000000"/>
                <w:sz w:val="20"/>
                <w:szCs w:val="20"/>
              </w:rPr>
            </w:pPr>
          </w:p>
        </w:tc>
      </w:tr>
      <w:tr w:rsidR="00CE354E" w:rsidRPr="004B0F35" w14:paraId="386EE4FC"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55C431F0"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2BCA8BD"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7AA251B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51.45</w:t>
            </w:r>
          </w:p>
        </w:tc>
        <w:tc>
          <w:tcPr>
            <w:tcW w:w="591" w:type="pct"/>
            <w:tcBorders>
              <w:top w:val="nil"/>
              <w:left w:val="nil"/>
              <w:bottom w:val="single" w:sz="8" w:space="0" w:color="auto"/>
              <w:right w:val="single" w:sz="8" w:space="0" w:color="auto"/>
            </w:tcBorders>
            <w:shd w:val="clear" w:color="auto" w:fill="auto"/>
            <w:hideMark/>
          </w:tcPr>
          <w:p w14:paraId="4025F1B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16.7%</w:t>
            </w:r>
          </w:p>
        </w:tc>
        <w:tc>
          <w:tcPr>
            <w:tcW w:w="592" w:type="pct"/>
            <w:tcBorders>
              <w:top w:val="nil"/>
              <w:left w:val="nil"/>
              <w:bottom w:val="single" w:sz="8" w:space="0" w:color="auto"/>
              <w:right w:val="single" w:sz="8" w:space="0" w:color="auto"/>
            </w:tcBorders>
            <w:shd w:val="clear" w:color="auto" w:fill="auto"/>
            <w:hideMark/>
          </w:tcPr>
          <w:p w14:paraId="0AB796B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51.45</w:t>
            </w:r>
          </w:p>
        </w:tc>
        <w:tc>
          <w:tcPr>
            <w:tcW w:w="593" w:type="pct"/>
            <w:tcBorders>
              <w:top w:val="nil"/>
              <w:left w:val="nil"/>
              <w:bottom w:val="single" w:sz="8" w:space="0" w:color="auto"/>
              <w:right w:val="single" w:sz="8" w:space="0" w:color="auto"/>
            </w:tcBorders>
            <w:shd w:val="clear" w:color="auto" w:fill="auto"/>
            <w:hideMark/>
          </w:tcPr>
          <w:p w14:paraId="401E712E"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17.5%</w:t>
            </w:r>
          </w:p>
        </w:tc>
        <w:tc>
          <w:tcPr>
            <w:tcW w:w="495" w:type="pct"/>
            <w:tcBorders>
              <w:top w:val="nil"/>
              <w:left w:val="nil"/>
              <w:bottom w:val="single" w:sz="8" w:space="0" w:color="auto"/>
              <w:right w:val="nil"/>
            </w:tcBorders>
            <w:shd w:val="clear" w:color="auto" w:fill="auto"/>
            <w:hideMark/>
          </w:tcPr>
          <w:p w14:paraId="6AE8C51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7EDE7D03" w14:textId="77777777" w:rsidR="00CE354E" w:rsidRPr="004B0F35" w:rsidRDefault="00CE354E" w:rsidP="00667810">
            <w:pPr>
              <w:spacing w:before="0" w:after="0"/>
              <w:rPr>
                <w:rFonts w:cstheme="minorHAnsi"/>
                <w:color w:val="000000"/>
                <w:sz w:val="20"/>
                <w:szCs w:val="20"/>
              </w:rPr>
            </w:pPr>
          </w:p>
        </w:tc>
      </w:tr>
      <w:tr w:rsidR="00CE354E" w:rsidRPr="004B0F35" w14:paraId="497AFA3E"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11536BFF"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862BDF3"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0F1DE27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5.01</w:t>
            </w:r>
          </w:p>
        </w:tc>
        <w:tc>
          <w:tcPr>
            <w:tcW w:w="591" w:type="pct"/>
            <w:tcBorders>
              <w:top w:val="nil"/>
              <w:left w:val="nil"/>
              <w:bottom w:val="single" w:sz="8" w:space="0" w:color="auto"/>
              <w:right w:val="single" w:sz="8" w:space="0" w:color="auto"/>
            </w:tcBorders>
            <w:shd w:val="clear" w:color="auto" w:fill="auto"/>
            <w:hideMark/>
          </w:tcPr>
          <w:p w14:paraId="08863BF0"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w:t>
            </w:r>
          </w:p>
        </w:tc>
        <w:tc>
          <w:tcPr>
            <w:tcW w:w="592" w:type="pct"/>
            <w:tcBorders>
              <w:top w:val="nil"/>
              <w:left w:val="nil"/>
              <w:bottom w:val="single" w:sz="8" w:space="0" w:color="auto"/>
              <w:right w:val="single" w:sz="8" w:space="0" w:color="auto"/>
            </w:tcBorders>
            <w:shd w:val="clear" w:color="auto" w:fill="auto"/>
            <w:hideMark/>
          </w:tcPr>
          <w:p w14:paraId="20B622F5"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4.55</w:t>
            </w:r>
          </w:p>
        </w:tc>
        <w:tc>
          <w:tcPr>
            <w:tcW w:w="593" w:type="pct"/>
            <w:tcBorders>
              <w:top w:val="nil"/>
              <w:left w:val="nil"/>
              <w:bottom w:val="single" w:sz="8" w:space="0" w:color="auto"/>
              <w:right w:val="single" w:sz="8" w:space="0" w:color="auto"/>
            </w:tcBorders>
            <w:shd w:val="clear" w:color="auto" w:fill="auto"/>
            <w:hideMark/>
          </w:tcPr>
          <w:p w14:paraId="0667D06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1.6%</w:t>
            </w:r>
          </w:p>
        </w:tc>
        <w:tc>
          <w:tcPr>
            <w:tcW w:w="495" w:type="pct"/>
            <w:tcBorders>
              <w:top w:val="nil"/>
              <w:left w:val="nil"/>
              <w:bottom w:val="single" w:sz="8" w:space="0" w:color="auto"/>
              <w:right w:val="nil"/>
            </w:tcBorders>
            <w:shd w:val="clear" w:color="auto" w:fill="auto"/>
            <w:hideMark/>
          </w:tcPr>
          <w:p w14:paraId="57B27FC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0.45</w:t>
            </w:r>
          </w:p>
        </w:tc>
        <w:tc>
          <w:tcPr>
            <w:tcW w:w="494" w:type="pct"/>
            <w:tcBorders>
              <w:top w:val="nil"/>
              <w:left w:val="single" w:sz="8" w:space="0" w:color="auto"/>
              <w:bottom w:val="nil"/>
              <w:right w:val="single" w:sz="8" w:space="0" w:color="auto"/>
            </w:tcBorders>
            <w:shd w:val="clear" w:color="000000" w:fill="F2F2F2"/>
            <w:hideMark/>
          </w:tcPr>
          <w:p w14:paraId="75DD650F" w14:textId="77777777" w:rsidR="00CE354E" w:rsidRPr="004B0F35" w:rsidRDefault="00CE354E" w:rsidP="00667810">
            <w:pPr>
              <w:spacing w:before="0" w:after="0"/>
              <w:rPr>
                <w:rFonts w:cstheme="minorHAnsi"/>
                <w:color w:val="000000"/>
                <w:sz w:val="20"/>
                <w:szCs w:val="20"/>
              </w:rPr>
            </w:pPr>
          </w:p>
        </w:tc>
      </w:tr>
      <w:tr w:rsidR="00CE354E" w:rsidRPr="004B0F35" w14:paraId="1B057113"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DDEF7DD"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3DD79CDF"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Pipe Heat Loss</w:t>
            </w:r>
          </w:p>
        </w:tc>
        <w:tc>
          <w:tcPr>
            <w:tcW w:w="591" w:type="pct"/>
            <w:tcBorders>
              <w:top w:val="nil"/>
              <w:left w:val="nil"/>
              <w:bottom w:val="single" w:sz="8" w:space="0" w:color="auto"/>
              <w:right w:val="single" w:sz="8" w:space="0" w:color="auto"/>
            </w:tcBorders>
            <w:shd w:val="clear" w:color="auto" w:fill="auto"/>
            <w:hideMark/>
          </w:tcPr>
          <w:p w14:paraId="13A9EAB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148.95</w:t>
            </w:r>
          </w:p>
        </w:tc>
        <w:tc>
          <w:tcPr>
            <w:tcW w:w="591" w:type="pct"/>
            <w:tcBorders>
              <w:top w:val="nil"/>
              <w:left w:val="nil"/>
              <w:bottom w:val="single" w:sz="8" w:space="0" w:color="auto"/>
              <w:right w:val="single" w:sz="8" w:space="0" w:color="auto"/>
            </w:tcBorders>
            <w:shd w:val="clear" w:color="auto" w:fill="auto"/>
            <w:hideMark/>
          </w:tcPr>
          <w:p w14:paraId="789DF77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48.4%</w:t>
            </w:r>
          </w:p>
        </w:tc>
        <w:tc>
          <w:tcPr>
            <w:tcW w:w="592" w:type="pct"/>
            <w:tcBorders>
              <w:top w:val="nil"/>
              <w:left w:val="nil"/>
              <w:bottom w:val="single" w:sz="8" w:space="0" w:color="auto"/>
              <w:right w:val="single" w:sz="8" w:space="0" w:color="auto"/>
            </w:tcBorders>
            <w:shd w:val="clear" w:color="auto" w:fill="auto"/>
            <w:hideMark/>
          </w:tcPr>
          <w:p w14:paraId="5F2BAF00"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135.29</w:t>
            </w:r>
          </w:p>
        </w:tc>
        <w:tc>
          <w:tcPr>
            <w:tcW w:w="593" w:type="pct"/>
            <w:tcBorders>
              <w:top w:val="nil"/>
              <w:left w:val="nil"/>
              <w:bottom w:val="single" w:sz="8" w:space="0" w:color="auto"/>
              <w:right w:val="single" w:sz="8" w:space="0" w:color="auto"/>
            </w:tcBorders>
            <w:shd w:val="clear" w:color="auto" w:fill="auto"/>
            <w:hideMark/>
          </w:tcPr>
          <w:p w14:paraId="29E58F4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46.1%</w:t>
            </w:r>
          </w:p>
        </w:tc>
        <w:tc>
          <w:tcPr>
            <w:tcW w:w="495" w:type="pct"/>
            <w:tcBorders>
              <w:top w:val="nil"/>
              <w:left w:val="nil"/>
              <w:bottom w:val="single" w:sz="8" w:space="0" w:color="auto"/>
              <w:right w:val="nil"/>
            </w:tcBorders>
            <w:shd w:val="clear" w:color="auto" w:fill="auto"/>
            <w:hideMark/>
          </w:tcPr>
          <w:p w14:paraId="66B78A4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13.66</w:t>
            </w:r>
          </w:p>
        </w:tc>
        <w:tc>
          <w:tcPr>
            <w:tcW w:w="494" w:type="pct"/>
            <w:tcBorders>
              <w:top w:val="nil"/>
              <w:left w:val="single" w:sz="8" w:space="0" w:color="auto"/>
              <w:bottom w:val="nil"/>
              <w:right w:val="single" w:sz="8" w:space="0" w:color="auto"/>
            </w:tcBorders>
            <w:shd w:val="clear" w:color="000000" w:fill="F2F2F2"/>
            <w:hideMark/>
          </w:tcPr>
          <w:p w14:paraId="2A410264" w14:textId="77777777" w:rsidR="00CE354E" w:rsidRPr="004B0F35" w:rsidRDefault="00CE354E" w:rsidP="00667810">
            <w:pPr>
              <w:spacing w:before="0" w:after="0"/>
              <w:rPr>
                <w:rFonts w:cstheme="minorHAnsi"/>
                <w:color w:val="000000"/>
                <w:sz w:val="20"/>
                <w:szCs w:val="20"/>
              </w:rPr>
            </w:pPr>
          </w:p>
        </w:tc>
      </w:tr>
      <w:tr w:rsidR="00CE354E" w:rsidRPr="004B0F35" w14:paraId="74AA40AC"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3ACFA8F7"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B91D503"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34A5A04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0.42</w:t>
            </w:r>
          </w:p>
        </w:tc>
        <w:tc>
          <w:tcPr>
            <w:tcW w:w="591" w:type="pct"/>
            <w:tcBorders>
              <w:top w:val="nil"/>
              <w:left w:val="nil"/>
              <w:bottom w:val="single" w:sz="8" w:space="0" w:color="auto"/>
              <w:right w:val="single" w:sz="8" w:space="0" w:color="auto"/>
            </w:tcBorders>
            <w:shd w:val="clear" w:color="auto" w:fill="auto"/>
            <w:hideMark/>
          </w:tcPr>
          <w:p w14:paraId="51032CA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0.1%</w:t>
            </w:r>
          </w:p>
        </w:tc>
        <w:tc>
          <w:tcPr>
            <w:tcW w:w="592" w:type="pct"/>
            <w:tcBorders>
              <w:top w:val="nil"/>
              <w:left w:val="nil"/>
              <w:bottom w:val="single" w:sz="8" w:space="0" w:color="auto"/>
              <w:right w:val="single" w:sz="8" w:space="0" w:color="auto"/>
            </w:tcBorders>
            <w:shd w:val="clear" w:color="auto" w:fill="auto"/>
            <w:hideMark/>
          </w:tcPr>
          <w:p w14:paraId="01D58AA5"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0.37</w:t>
            </w:r>
          </w:p>
        </w:tc>
        <w:tc>
          <w:tcPr>
            <w:tcW w:w="593" w:type="pct"/>
            <w:tcBorders>
              <w:top w:val="nil"/>
              <w:left w:val="nil"/>
              <w:bottom w:val="single" w:sz="8" w:space="0" w:color="auto"/>
              <w:right w:val="single" w:sz="8" w:space="0" w:color="auto"/>
            </w:tcBorders>
            <w:shd w:val="clear" w:color="auto" w:fill="auto"/>
            <w:hideMark/>
          </w:tcPr>
          <w:p w14:paraId="78348C5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0.1%</w:t>
            </w:r>
          </w:p>
        </w:tc>
        <w:tc>
          <w:tcPr>
            <w:tcW w:w="495" w:type="pct"/>
            <w:tcBorders>
              <w:top w:val="nil"/>
              <w:left w:val="nil"/>
              <w:bottom w:val="single" w:sz="8" w:space="0" w:color="auto"/>
              <w:right w:val="nil"/>
            </w:tcBorders>
            <w:shd w:val="clear" w:color="auto" w:fill="auto"/>
            <w:hideMark/>
          </w:tcPr>
          <w:p w14:paraId="12F8F2D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7389485E" w14:textId="77777777" w:rsidR="00CE354E" w:rsidRPr="004B0F35" w:rsidRDefault="00CE354E" w:rsidP="00667810">
            <w:pPr>
              <w:spacing w:before="0" w:after="0"/>
              <w:rPr>
                <w:rFonts w:cstheme="minorHAnsi"/>
                <w:color w:val="000000"/>
                <w:sz w:val="20"/>
                <w:szCs w:val="20"/>
              </w:rPr>
            </w:pPr>
          </w:p>
        </w:tc>
      </w:tr>
      <w:tr w:rsidR="00CE354E" w:rsidRPr="004B0F35" w14:paraId="0FAD291F"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427FF082"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13A85F7"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7D322D4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307.78</w:t>
            </w:r>
          </w:p>
        </w:tc>
        <w:tc>
          <w:tcPr>
            <w:tcW w:w="591" w:type="pct"/>
            <w:tcBorders>
              <w:top w:val="nil"/>
              <w:left w:val="nil"/>
              <w:bottom w:val="nil"/>
              <w:right w:val="single" w:sz="8" w:space="0" w:color="auto"/>
            </w:tcBorders>
            <w:shd w:val="clear" w:color="auto" w:fill="auto"/>
            <w:hideMark/>
          </w:tcPr>
          <w:p w14:paraId="09008AE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74DDDF70"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293.61</w:t>
            </w:r>
          </w:p>
        </w:tc>
        <w:tc>
          <w:tcPr>
            <w:tcW w:w="593" w:type="pct"/>
            <w:tcBorders>
              <w:top w:val="nil"/>
              <w:left w:val="nil"/>
              <w:bottom w:val="nil"/>
              <w:right w:val="single" w:sz="8" w:space="0" w:color="auto"/>
            </w:tcBorders>
            <w:shd w:val="clear" w:color="auto" w:fill="auto"/>
            <w:hideMark/>
          </w:tcPr>
          <w:p w14:paraId="7ED1C0D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4FE12E8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14.17</w:t>
            </w:r>
          </w:p>
        </w:tc>
        <w:tc>
          <w:tcPr>
            <w:tcW w:w="494" w:type="pct"/>
            <w:tcBorders>
              <w:top w:val="nil"/>
              <w:left w:val="single" w:sz="8" w:space="0" w:color="auto"/>
              <w:bottom w:val="nil"/>
              <w:right w:val="single" w:sz="8" w:space="0" w:color="auto"/>
            </w:tcBorders>
            <w:shd w:val="clear" w:color="000000" w:fill="F2F2F2"/>
            <w:hideMark/>
          </w:tcPr>
          <w:p w14:paraId="0CC2290A" w14:textId="77777777" w:rsidR="00CE354E" w:rsidRPr="004B0F35" w:rsidRDefault="00CE354E" w:rsidP="00667810">
            <w:pPr>
              <w:spacing w:before="0" w:after="0"/>
              <w:rPr>
                <w:rFonts w:cstheme="minorHAnsi"/>
                <w:color w:val="000000"/>
                <w:sz w:val="20"/>
                <w:szCs w:val="20"/>
              </w:rPr>
            </w:pPr>
          </w:p>
        </w:tc>
      </w:tr>
      <w:tr w:rsidR="00CE354E" w:rsidRPr="004B0F35" w14:paraId="0DCCDE53"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10F3E7E"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40DD0C0A"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Pump Heat In</w:t>
            </w:r>
          </w:p>
        </w:tc>
        <w:tc>
          <w:tcPr>
            <w:tcW w:w="591" w:type="pct"/>
            <w:tcBorders>
              <w:top w:val="nil"/>
              <w:left w:val="nil"/>
              <w:bottom w:val="single" w:sz="8" w:space="0" w:color="auto"/>
              <w:right w:val="nil"/>
            </w:tcBorders>
            <w:shd w:val="clear" w:color="auto" w:fill="auto"/>
            <w:hideMark/>
          </w:tcPr>
          <w:p w14:paraId="7B23B22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-15.40</w:t>
            </w:r>
          </w:p>
        </w:tc>
        <w:tc>
          <w:tcPr>
            <w:tcW w:w="591" w:type="pct"/>
            <w:tcBorders>
              <w:top w:val="single" w:sz="8" w:space="0" w:color="auto"/>
              <w:left w:val="single" w:sz="8" w:space="0" w:color="auto"/>
              <w:bottom w:val="nil"/>
              <w:right w:val="single" w:sz="8" w:space="0" w:color="auto"/>
            </w:tcBorders>
            <w:shd w:val="clear" w:color="000000" w:fill="F2F2F2"/>
            <w:hideMark/>
          </w:tcPr>
          <w:p w14:paraId="237745C9"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31BCF6F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-15.38</w:t>
            </w:r>
          </w:p>
        </w:tc>
        <w:tc>
          <w:tcPr>
            <w:tcW w:w="593" w:type="pct"/>
            <w:tcBorders>
              <w:top w:val="single" w:sz="8" w:space="0" w:color="auto"/>
              <w:left w:val="single" w:sz="8" w:space="0" w:color="auto"/>
              <w:bottom w:val="nil"/>
              <w:right w:val="single" w:sz="8" w:space="0" w:color="auto"/>
            </w:tcBorders>
            <w:shd w:val="clear" w:color="000000" w:fill="F2F2F2"/>
            <w:hideMark/>
          </w:tcPr>
          <w:p w14:paraId="395BAF2F"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0D5C7A2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-0.02</w:t>
            </w:r>
          </w:p>
        </w:tc>
        <w:tc>
          <w:tcPr>
            <w:tcW w:w="494" w:type="pct"/>
            <w:tcBorders>
              <w:top w:val="nil"/>
              <w:left w:val="single" w:sz="8" w:space="0" w:color="auto"/>
              <w:bottom w:val="single" w:sz="8" w:space="0" w:color="auto"/>
              <w:right w:val="single" w:sz="8" w:space="0" w:color="auto"/>
            </w:tcBorders>
            <w:shd w:val="clear" w:color="000000" w:fill="F2F2F2"/>
            <w:hideMark/>
          </w:tcPr>
          <w:p w14:paraId="2FC759CD" w14:textId="77777777" w:rsidR="00CE354E" w:rsidRPr="004B0F35" w:rsidRDefault="00CE354E" w:rsidP="00667810">
            <w:pPr>
              <w:spacing w:before="0" w:after="0"/>
              <w:rPr>
                <w:rFonts w:cstheme="minorHAnsi"/>
                <w:color w:val="000000"/>
                <w:sz w:val="20"/>
                <w:szCs w:val="20"/>
              </w:rPr>
            </w:pPr>
          </w:p>
        </w:tc>
      </w:tr>
      <w:tr w:rsidR="00CE354E" w:rsidRPr="004B0F35" w14:paraId="01EAEDC5"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779C942"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62A97CE"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0B0EA7D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292.38</w:t>
            </w:r>
          </w:p>
        </w:tc>
        <w:tc>
          <w:tcPr>
            <w:tcW w:w="591" w:type="pct"/>
            <w:tcBorders>
              <w:top w:val="nil"/>
              <w:left w:val="single" w:sz="8" w:space="0" w:color="auto"/>
              <w:bottom w:val="single" w:sz="8" w:space="0" w:color="auto"/>
              <w:right w:val="single" w:sz="8" w:space="0" w:color="auto"/>
            </w:tcBorders>
            <w:shd w:val="clear" w:color="000000" w:fill="F2F2F2"/>
            <w:hideMark/>
          </w:tcPr>
          <w:p w14:paraId="4C4962BB"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365D7D4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278.23</w:t>
            </w:r>
          </w:p>
        </w:tc>
        <w:tc>
          <w:tcPr>
            <w:tcW w:w="593" w:type="pct"/>
            <w:tcBorders>
              <w:top w:val="nil"/>
              <w:left w:val="single" w:sz="8" w:space="0" w:color="auto"/>
              <w:bottom w:val="single" w:sz="8" w:space="0" w:color="auto"/>
              <w:right w:val="single" w:sz="8" w:space="0" w:color="auto"/>
            </w:tcBorders>
            <w:shd w:val="clear" w:color="000000" w:fill="F2F2F2"/>
            <w:hideMark/>
          </w:tcPr>
          <w:p w14:paraId="3B9C8C86"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7FC7C831"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14.15</w:t>
            </w:r>
          </w:p>
        </w:tc>
        <w:tc>
          <w:tcPr>
            <w:tcW w:w="494" w:type="pct"/>
            <w:tcBorders>
              <w:top w:val="nil"/>
              <w:left w:val="nil"/>
              <w:bottom w:val="single" w:sz="8" w:space="0" w:color="auto"/>
              <w:right w:val="single" w:sz="8" w:space="0" w:color="auto"/>
            </w:tcBorders>
            <w:shd w:val="clear" w:color="auto" w:fill="auto"/>
            <w:hideMark/>
          </w:tcPr>
          <w:p w14:paraId="2E580600"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4.8%</w:t>
            </w:r>
          </w:p>
        </w:tc>
      </w:tr>
      <w:tr w:rsidR="00CE354E" w:rsidRPr="004B0F35" w14:paraId="57359606" w14:textId="77777777" w:rsidTr="00CE354E">
        <w:trPr>
          <w:trHeight w:val="245"/>
        </w:trPr>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2CB041C9" w14:textId="77777777" w:rsidR="00CE354E" w:rsidRPr="004B0F35" w:rsidRDefault="00CE354E" w:rsidP="00667810">
            <w:pPr>
              <w:spacing w:before="0" w:after="0"/>
              <w:jc w:val="center"/>
              <w:rPr>
                <w:rFonts w:cstheme="minorHAnsi"/>
                <w:color w:val="000000"/>
                <w:sz w:val="20"/>
                <w:szCs w:val="20"/>
              </w:rPr>
            </w:pPr>
            <w:r w:rsidRPr="004B0F35">
              <w:rPr>
                <w:rFonts w:cstheme="minorHAnsi"/>
                <w:color w:val="000000"/>
                <w:sz w:val="20"/>
                <w:szCs w:val="20"/>
              </w:rPr>
              <w:t>16</w:t>
            </w:r>
          </w:p>
        </w:tc>
        <w:tc>
          <w:tcPr>
            <w:tcW w:w="1135" w:type="pct"/>
            <w:tcBorders>
              <w:top w:val="nil"/>
              <w:left w:val="nil"/>
              <w:bottom w:val="single" w:sz="8" w:space="0" w:color="auto"/>
              <w:right w:val="single" w:sz="8" w:space="0" w:color="auto"/>
            </w:tcBorders>
            <w:shd w:val="clear" w:color="auto" w:fill="auto"/>
            <w:noWrap/>
            <w:vAlign w:val="bottom"/>
            <w:hideMark/>
          </w:tcPr>
          <w:p w14:paraId="00D87DBD"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Domestic Hot Water</w:t>
            </w:r>
          </w:p>
        </w:tc>
        <w:tc>
          <w:tcPr>
            <w:tcW w:w="591" w:type="pct"/>
            <w:tcBorders>
              <w:top w:val="nil"/>
              <w:left w:val="nil"/>
              <w:bottom w:val="single" w:sz="8" w:space="0" w:color="auto"/>
              <w:right w:val="single" w:sz="8" w:space="0" w:color="auto"/>
            </w:tcBorders>
            <w:shd w:val="clear" w:color="auto" w:fill="auto"/>
            <w:hideMark/>
          </w:tcPr>
          <w:p w14:paraId="0C5C6B3E"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126.17</w:t>
            </w:r>
          </w:p>
        </w:tc>
        <w:tc>
          <w:tcPr>
            <w:tcW w:w="591" w:type="pct"/>
            <w:tcBorders>
              <w:top w:val="nil"/>
              <w:left w:val="nil"/>
              <w:bottom w:val="single" w:sz="8" w:space="0" w:color="auto"/>
              <w:right w:val="single" w:sz="8" w:space="0" w:color="auto"/>
            </w:tcBorders>
            <w:shd w:val="clear" w:color="auto" w:fill="auto"/>
            <w:hideMark/>
          </w:tcPr>
          <w:p w14:paraId="508AEA1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23.3%</w:t>
            </w:r>
          </w:p>
        </w:tc>
        <w:tc>
          <w:tcPr>
            <w:tcW w:w="592" w:type="pct"/>
            <w:tcBorders>
              <w:top w:val="nil"/>
              <w:left w:val="nil"/>
              <w:bottom w:val="single" w:sz="8" w:space="0" w:color="auto"/>
              <w:right w:val="single" w:sz="8" w:space="0" w:color="auto"/>
            </w:tcBorders>
            <w:shd w:val="clear" w:color="auto" w:fill="auto"/>
            <w:hideMark/>
          </w:tcPr>
          <w:p w14:paraId="7C442F8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126.17</w:t>
            </w:r>
          </w:p>
        </w:tc>
        <w:tc>
          <w:tcPr>
            <w:tcW w:w="593" w:type="pct"/>
            <w:tcBorders>
              <w:top w:val="nil"/>
              <w:left w:val="nil"/>
              <w:bottom w:val="single" w:sz="8" w:space="0" w:color="auto"/>
              <w:right w:val="single" w:sz="8" w:space="0" w:color="auto"/>
            </w:tcBorders>
            <w:shd w:val="clear" w:color="auto" w:fill="auto"/>
            <w:hideMark/>
          </w:tcPr>
          <w:p w14:paraId="5EE0B0E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23.7%</w:t>
            </w:r>
          </w:p>
        </w:tc>
        <w:tc>
          <w:tcPr>
            <w:tcW w:w="495" w:type="pct"/>
            <w:tcBorders>
              <w:top w:val="nil"/>
              <w:left w:val="nil"/>
              <w:bottom w:val="single" w:sz="8" w:space="0" w:color="auto"/>
              <w:right w:val="nil"/>
            </w:tcBorders>
            <w:shd w:val="clear" w:color="auto" w:fill="auto"/>
            <w:hideMark/>
          </w:tcPr>
          <w:p w14:paraId="6CF04E3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59F64157" w14:textId="77777777" w:rsidR="00CE354E" w:rsidRPr="004B0F35" w:rsidRDefault="00CE354E" w:rsidP="00667810">
            <w:pPr>
              <w:spacing w:before="0" w:after="0"/>
              <w:rPr>
                <w:rFonts w:cstheme="minorHAnsi"/>
                <w:color w:val="000000"/>
                <w:sz w:val="20"/>
                <w:szCs w:val="20"/>
              </w:rPr>
            </w:pPr>
          </w:p>
        </w:tc>
      </w:tr>
      <w:tr w:rsidR="00CE354E" w:rsidRPr="004B0F35" w14:paraId="1B2DC556"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3DC941D7"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CEFB0E4"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Heating Hot Water</w:t>
            </w:r>
          </w:p>
        </w:tc>
        <w:tc>
          <w:tcPr>
            <w:tcW w:w="591" w:type="pct"/>
            <w:tcBorders>
              <w:top w:val="nil"/>
              <w:left w:val="nil"/>
              <w:bottom w:val="single" w:sz="8" w:space="0" w:color="auto"/>
              <w:right w:val="single" w:sz="8" w:space="0" w:color="auto"/>
            </w:tcBorders>
            <w:shd w:val="clear" w:color="auto" w:fill="auto"/>
            <w:hideMark/>
          </w:tcPr>
          <w:p w14:paraId="42620839"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224.64</w:t>
            </w:r>
          </w:p>
        </w:tc>
        <w:tc>
          <w:tcPr>
            <w:tcW w:w="591" w:type="pct"/>
            <w:tcBorders>
              <w:top w:val="nil"/>
              <w:left w:val="nil"/>
              <w:bottom w:val="single" w:sz="8" w:space="0" w:color="auto"/>
              <w:right w:val="single" w:sz="8" w:space="0" w:color="auto"/>
            </w:tcBorders>
            <w:shd w:val="clear" w:color="auto" w:fill="auto"/>
            <w:hideMark/>
          </w:tcPr>
          <w:p w14:paraId="45E2540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41.5%</w:t>
            </w:r>
          </w:p>
        </w:tc>
        <w:tc>
          <w:tcPr>
            <w:tcW w:w="592" w:type="pct"/>
            <w:tcBorders>
              <w:top w:val="nil"/>
              <w:left w:val="nil"/>
              <w:bottom w:val="single" w:sz="8" w:space="0" w:color="auto"/>
              <w:right w:val="single" w:sz="8" w:space="0" w:color="auto"/>
            </w:tcBorders>
            <w:shd w:val="clear" w:color="auto" w:fill="auto"/>
            <w:hideMark/>
          </w:tcPr>
          <w:p w14:paraId="16BEDB9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224.64</w:t>
            </w:r>
          </w:p>
        </w:tc>
        <w:tc>
          <w:tcPr>
            <w:tcW w:w="593" w:type="pct"/>
            <w:tcBorders>
              <w:top w:val="nil"/>
              <w:left w:val="nil"/>
              <w:bottom w:val="single" w:sz="8" w:space="0" w:color="auto"/>
              <w:right w:val="single" w:sz="8" w:space="0" w:color="auto"/>
            </w:tcBorders>
            <w:shd w:val="clear" w:color="auto" w:fill="auto"/>
            <w:hideMark/>
          </w:tcPr>
          <w:p w14:paraId="32FB5FD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42.2%</w:t>
            </w:r>
          </w:p>
        </w:tc>
        <w:tc>
          <w:tcPr>
            <w:tcW w:w="495" w:type="pct"/>
            <w:tcBorders>
              <w:top w:val="nil"/>
              <w:left w:val="nil"/>
              <w:bottom w:val="single" w:sz="8" w:space="0" w:color="auto"/>
              <w:right w:val="nil"/>
            </w:tcBorders>
            <w:shd w:val="clear" w:color="auto" w:fill="auto"/>
            <w:hideMark/>
          </w:tcPr>
          <w:p w14:paraId="70996E9C"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0.00</w:t>
            </w:r>
          </w:p>
        </w:tc>
        <w:tc>
          <w:tcPr>
            <w:tcW w:w="494" w:type="pct"/>
            <w:tcBorders>
              <w:top w:val="nil"/>
              <w:left w:val="single" w:sz="8" w:space="0" w:color="auto"/>
              <w:bottom w:val="nil"/>
              <w:right w:val="single" w:sz="8" w:space="0" w:color="auto"/>
            </w:tcBorders>
            <w:shd w:val="clear" w:color="000000" w:fill="F2F2F2"/>
            <w:hideMark/>
          </w:tcPr>
          <w:p w14:paraId="493541E5" w14:textId="77777777" w:rsidR="00CE354E" w:rsidRPr="004B0F35" w:rsidRDefault="00CE354E" w:rsidP="00667810">
            <w:pPr>
              <w:spacing w:before="0" w:after="0"/>
              <w:rPr>
                <w:rFonts w:cstheme="minorHAnsi"/>
                <w:color w:val="000000"/>
                <w:sz w:val="20"/>
                <w:szCs w:val="20"/>
              </w:rPr>
            </w:pPr>
          </w:p>
        </w:tc>
      </w:tr>
      <w:tr w:rsidR="00CE354E" w:rsidRPr="004B0F35" w14:paraId="6BF3806F"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45F8313C"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5D859F17"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Tank Heat Loss</w:t>
            </w:r>
          </w:p>
        </w:tc>
        <w:tc>
          <w:tcPr>
            <w:tcW w:w="591" w:type="pct"/>
            <w:tcBorders>
              <w:top w:val="nil"/>
              <w:left w:val="nil"/>
              <w:bottom w:val="single" w:sz="8" w:space="0" w:color="auto"/>
              <w:right w:val="single" w:sz="8" w:space="0" w:color="auto"/>
            </w:tcBorders>
            <w:shd w:val="clear" w:color="auto" w:fill="auto"/>
            <w:hideMark/>
          </w:tcPr>
          <w:p w14:paraId="6A351C74"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5.90</w:t>
            </w:r>
          </w:p>
        </w:tc>
        <w:tc>
          <w:tcPr>
            <w:tcW w:w="591" w:type="pct"/>
            <w:tcBorders>
              <w:top w:val="nil"/>
              <w:left w:val="nil"/>
              <w:bottom w:val="single" w:sz="8" w:space="0" w:color="auto"/>
              <w:right w:val="single" w:sz="8" w:space="0" w:color="auto"/>
            </w:tcBorders>
            <w:shd w:val="clear" w:color="auto" w:fill="auto"/>
            <w:hideMark/>
          </w:tcPr>
          <w:p w14:paraId="12918BF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1.1%</w:t>
            </w:r>
          </w:p>
        </w:tc>
        <w:tc>
          <w:tcPr>
            <w:tcW w:w="592" w:type="pct"/>
            <w:tcBorders>
              <w:top w:val="nil"/>
              <w:left w:val="nil"/>
              <w:bottom w:val="single" w:sz="8" w:space="0" w:color="auto"/>
              <w:right w:val="single" w:sz="8" w:space="0" w:color="auto"/>
            </w:tcBorders>
            <w:shd w:val="clear" w:color="auto" w:fill="auto"/>
            <w:hideMark/>
          </w:tcPr>
          <w:p w14:paraId="74B29BC7"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5.63</w:t>
            </w:r>
          </w:p>
        </w:tc>
        <w:tc>
          <w:tcPr>
            <w:tcW w:w="593" w:type="pct"/>
            <w:tcBorders>
              <w:top w:val="nil"/>
              <w:left w:val="nil"/>
              <w:bottom w:val="single" w:sz="8" w:space="0" w:color="auto"/>
              <w:right w:val="single" w:sz="8" w:space="0" w:color="auto"/>
            </w:tcBorders>
            <w:shd w:val="clear" w:color="auto" w:fill="auto"/>
            <w:hideMark/>
          </w:tcPr>
          <w:p w14:paraId="030F0B78"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1.1%</w:t>
            </w:r>
          </w:p>
        </w:tc>
        <w:tc>
          <w:tcPr>
            <w:tcW w:w="495" w:type="pct"/>
            <w:tcBorders>
              <w:top w:val="nil"/>
              <w:left w:val="nil"/>
              <w:bottom w:val="single" w:sz="8" w:space="0" w:color="auto"/>
              <w:right w:val="nil"/>
            </w:tcBorders>
            <w:shd w:val="clear" w:color="auto" w:fill="auto"/>
            <w:hideMark/>
          </w:tcPr>
          <w:p w14:paraId="7337BCE7"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0.27</w:t>
            </w:r>
          </w:p>
        </w:tc>
        <w:tc>
          <w:tcPr>
            <w:tcW w:w="494" w:type="pct"/>
            <w:tcBorders>
              <w:top w:val="nil"/>
              <w:left w:val="single" w:sz="8" w:space="0" w:color="auto"/>
              <w:bottom w:val="nil"/>
              <w:right w:val="single" w:sz="8" w:space="0" w:color="auto"/>
            </w:tcBorders>
            <w:shd w:val="clear" w:color="000000" w:fill="F2F2F2"/>
            <w:hideMark/>
          </w:tcPr>
          <w:p w14:paraId="3C56E09B" w14:textId="77777777" w:rsidR="00CE354E" w:rsidRPr="004B0F35" w:rsidRDefault="00CE354E" w:rsidP="00667810">
            <w:pPr>
              <w:spacing w:before="0" w:after="0"/>
              <w:rPr>
                <w:rFonts w:cstheme="minorHAnsi"/>
                <w:color w:val="000000"/>
                <w:sz w:val="20"/>
                <w:szCs w:val="20"/>
              </w:rPr>
            </w:pPr>
          </w:p>
        </w:tc>
      </w:tr>
      <w:tr w:rsidR="00CE354E" w:rsidRPr="004B0F35" w14:paraId="0E660368"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77931244"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6030A2ED"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Pipe Heat Loss</w:t>
            </w:r>
          </w:p>
        </w:tc>
        <w:tc>
          <w:tcPr>
            <w:tcW w:w="591" w:type="pct"/>
            <w:tcBorders>
              <w:top w:val="nil"/>
              <w:left w:val="nil"/>
              <w:bottom w:val="single" w:sz="8" w:space="0" w:color="auto"/>
              <w:right w:val="single" w:sz="8" w:space="0" w:color="auto"/>
            </w:tcBorders>
            <w:shd w:val="clear" w:color="auto" w:fill="auto"/>
            <w:hideMark/>
          </w:tcPr>
          <w:p w14:paraId="44E7516A"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182.76</w:t>
            </w:r>
          </w:p>
        </w:tc>
        <w:tc>
          <w:tcPr>
            <w:tcW w:w="591" w:type="pct"/>
            <w:tcBorders>
              <w:top w:val="nil"/>
              <w:left w:val="nil"/>
              <w:bottom w:val="single" w:sz="8" w:space="0" w:color="auto"/>
              <w:right w:val="single" w:sz="8" w:space="0" w:color="auto"/>
            </w:tcBorders>
            <w:shd w:val="clear" w:color="auto" w:fill="auto"/>
            <w:hideMark/>
          </w:tcPr>
          <w:p w14:paraId="792B17E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33.8%</w:t>
            </w:r>
          </w:p>
        </w:tc>
        <w:tc>
          <w:tcPr>
            <w:tcW w:w="592" w:type="pct"/>
            <w:tcBorders>
              <w:top w:val="nil"/>
              <w:left w:val="nil"/>
              <w:bottom w:val="single" w:sz="8" w:space="0" w:color="auto"/>
              <w:right w:val="single" w:sz="8" w:space="0" w:color="auto"/>
            </w:tcBorders>
            <w:shd w:val="clear" w:color="auto" w:fill="auto"/>
            <w:hideMark/>
          </w:tcPr>
          <w:p w14:paraId="05404B24"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175.10</w:t>
            </w:r>
          </w:p>
        </w:tc>
        <w:tc>
          <w:tcPr>
            <w:tcW w:w="593" w:type="pct"/>
            <w:tcBorders>
              <w:top w:val="nil"/>
              <w:left w:val="nil"/>
              <w:bottom w:val="single" w:sz="8" w:space="0" w:color="auto"/>
              <w:right w:val="single" w:sz="8" w:space="0" w:color="auto"/>
            </w:tcBorders>
            <w:shd w:val="clear" w:color="auto" w:fill="auto"/>
            <w:hideMark/>
          </w:tcPr>
          <w:p w14:paraId="0E8F584E"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32.9%</w:t>
            </w:r>
          </w:p>
        </w:tc>
        <w:tc>
          <w:tcPr>
            <w:tcW w:w="495" w:type="pct"/>
            <w:tcBorders>
              <w:top w:val="nil"/>
              <w:left w:val="nil"/>
              <w:bottom w:val="single" w:sz="8" w:space="0" w:color="auto"/>
              <w:right w:val="nil"/>
            </w:tcBorders>
            <w:shd w:val="clear" w:color="auto" w:fill="auto"/>
            <w:hideMark/>
          </w:tcPr>
          <w:p w14:paraId="2C3B72F7"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7.66</w:t>
            </w:r>
          </w:p>
        </w:tc>
        <w:tc>
          <w:tcPr>
            <w:tcW w:w="494" w:type="pct"/>
            <w:tcBorders>
              <w:top w:val="nil"/>
              <w:left w:val="single" w:sz="8" w:space="0" w:color="auto"/>
              <w:bottom w:val="nil"/>
              <w:right w:val="single" w:sz="8" w:space="0" w:color="auto"/>
            </w:tcBorders>
            <w:shd w:val="clear" w:color="000000" w:fill="F2F2F2"/>
            <w:hideMark/>
          </w:tcPr>
          <w:p w14:paraId="7FB64445" w14:textId="77777777" w:rsidR="00CE354E" w:rsidRPr="004B0F35" w:rsidRDefault="00CE354E" w:rsidP="00667810">
            <w:pPr>
              <w:spacing w:before="0" w:after="0"/>
              <w:rPr>
                <w:rFonts w:cstheme="minorHAnsi"/>
                <w:color w:val="000000"/>
                <w:sz w:val="20"/>
                <w:szCs w:val="20"/>
              </w:rPr>
            </w:pPr>
          </w:p>
        </w:tc>
      </w:tr>
      <w:tr w:rsidR="00CE354E" w:rsidRPr="004B0F35" w14:paraId="0136F2D0"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7A9D5577"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00E4A847"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Uncategorized</w:t>
            </w:r>
          </w:p>
        </w:tc>
        <w:tc>
          <w:tcPr>
            <w:tcW w:w="591" w:type="pct"/>
            <w:tcBorders>
              <w:top w:val="nil"/>
              <w:left w:val="nil"/>
              <w:bottom w:val="single" w:sz="8" w:space="0" w:color="auto"/>
              <w:right w:val="single" w:sz="8" w:space="0" w:color="auto"/>
            </w:tcBorders>
            <w:shd w:val="clear" w:color="auto" w:fill="auto"/>
            <w:hideMark/>
          </w:tcPr>
          <w:p w14:paraId="5F184A9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1.19</w:t>
            </w:r>
          </w:p>
        </w:tc>
        <w:tc>
          <w:tcPr>
            <w:tcW w:w="591" w:type="pct"/>
            <w:tcBorders>
              <w:top w:val="nil"/>
              <w:left w:val="nil"/>
              <w:bottom w:val="single" w:sz="8" w:space="0" w:color="auto"/>
              <w:right w:val="single" w:sz="8" w:space="0" w:color="auto"/>
            </w:tcBorders>
            <w:shd w:val="clear" w:color="auto" w:fill="auto"/>
            <w:hideMark/>
          </w:tcPr>
          <w:p w14:paraId="41F24F6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0.2%</w:t>
            </w:r>
          </w:p>
        </w:tc>
        <w:tc>
          <w:tcPr>
            <w:tcW w:w="592" w:type="pct"/>
            <w:tcBorders>
              <w:top w:val="nil"/>
              <w:left w:val="nil"/>
              <w:bottom w:val="single" w:sz="8" w:space="0" w:color="auto"/>
              <w:right w:val="single" w:sz="8" w:space="0" w:color="auto"/>
            </w:tcBorders>
            <w:shd w:val="clear" w:color="auto" w:fill="auto"/>
            <w:hideMark/>
          </w:tcPr>
          <w:p w14:paraId="07DE2CB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1.13</w:t>
            </w:r>
          </w:p>
        </w:tc>
        <w:tc>
          <w:tcPr>
            <w:tcW w:w="593" w:type="pct"/>
            <w:tcBorders>
              <w:top w:val="nil"/>
              <w:left w:val="nil"/>
              <w:bottom w:val="single" w:sz="8" w:space="0" w:color="auto"/>
              <w:right w:val="single" w:sz="8" w:space="0" w:color="auto"/>
            </w:tcBorders>
            <w:shd w:val="clear" w:color="auto" w:fill="auto"/>
            <w:hideMark/>
          </w:tcPr>
          <w:p w14:paraId="7165543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0.2%</w:t>
            </w:r>
          </w:p>
        </w:tc>
        <w:tc>
          <w:tcPr>
            <w:tcW w:w="495" w:type="pct"/>
            <w:tcBorders>
              <w:top w:val="nil"/>
              <w:left w:val="nil"/>
              <w:bottom w:val="single" w:sz="8" w:space="0" w:color="auto"/>
              <w:right w:val="nil"/>
            </w:tcBorders>
            <w:shd w:val="clear" w:color="auto" w:fill="auto"/>
            <w:hideMark/>
          </w:tcPr>
          <w:p w14:paraId="575BF075"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0.06</w:t>
            </w:r>
          </w:p>
        </w:tc>
        <w:tc>
          <w:tcPr>
            <w:tcW w:w="494" w:type="pct"/>
            <w:tcBorders>
              <w:top w:val="nil"/>
              <w:left w:val="single" w:sz="8" w:space="0" w:color="auto"/>
              <w:bottom w:val="nil"/>
              <w:right w:val="single" w:sz="8" w:space="0" w:color="auto"/>
            </w:tcBorders>
            <w:shd w:val="clear" w:color="000000" w:fill="F2F2F2"/>
            <w:hideMark/>
          </w:tcPr>
          <w:p w14:paraId="7D24A0BA" w14:textId="77777777" w:rsidR="00CE354E" w:rsidRPr="004B0F35" w:rsidRDefault="00CE354E" w:rsidP="00667810">
            <w:pPr>
              <w:spacing w:before="0" w:after="0"/>
              <w:rPr>
                <w:rFonts w:cstheme="minorHAnsi"/>
                <w:color w:val="000000"/>
                <w:sz w:val="20"/>
                <w:szCs w:val="20"/>
              </w:rPr>
            </w:pPr>
          </w:p>
        </w:tc>
      </w:tr>
      <w:tr w:rsidR="00CE354E" w:rsidRPr="004B0F35" w14:paraId="59A0C584"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340DD720"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1202BDFF"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Subtotal</w:t>
            </w:r>
          </w:p>
        </w:tc>
        <w:tc>
          <w:tcPr>
            <w:tcW w:w="591" w:type="pct"/>
            <w:tcBorders>
              <w:top w:val="nil"/>
              <w:left w:val="nil"/>
              <w:bottom w:val="single" w:sz="8" w:space="0" w:color="auto"/>
              <w:right w:val="single" w:sz="8" w:space="0" w:color="auto"/>
            </w:tcBorders>
            <w:shd w:val="clear" w:color="auto" w:fill="auto"/>
            <w:hideMark/>
          </w:tcPr>
          <w:p w14:paraId="0E3F96AD"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540.65</w:t>
            </w:r>
          </w:p>
        </w:tc>
        <w:tc>
          <w:tcPr>
            <w:tcW w:w="591" w:type="pct"/>
            <w:tcBorders>
              <w:top w:val="nil"/>
              <w:left w:val="nil"/>
              <w:bottom w:val="nil"/>
              <w:right w:val="single" w:sz="8" w:space="0" w:color="auto"/>
            </w:tcBorders>
            <w:shd w:val="clear" w:color="auto" w:fill="auto"/>
            <w:hideMark/>
          </w:tcPr>
          <w:p w14:paraId="38841B11"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592" w:type="pct"/>
            <w:tcBorders>
              <w:top w:val="nil"/>
              <w:left w:val="nil"/>
              <w:bottom w:val="single" w:sz="8" w:space="0" w:color="auto"/>
              <w:right w:val="single" w:sz="8" w:space="0" w:color="auto"/>
            </w:tcBorders>
            <w:shd w:val="clear" w:color="auto" w:fill="auto"/>
            <w:hideMark/>
          </w:tcPr>
          <w:p w14:paraId="3F0F1D7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532.66</w:t>
            </w:r>
          </w:p>
        </w:tc>
        <w:tc>
          <w:tcPr>
            <w:tcW w:w="593" w:type="pct"/>
            <w:tcBorders>
              <w:top w:val="nil"/>
              <w:left w:val="nil"/>
              <w:bottom w:val="nil"/>
              <w:right w:val="single" w:sz="8" w:space="0" w:color="auto"/>
            </w:tcBorders>
            <w:shd w:val="clear" w:color="auto" w:fill="auto"/>
            <w:hideMark/>
          </w:tcPr>
          <w:p w14:paraId="41E9A4D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100.0%</w:t>
            </w:r>
          </w:p>
        </w:tc>
        <w:tc>
          <w:tcPr>
            <w:tcW w:w="495" w:type="pct"/>
            <w:tcBorders>
              <w:top w:val="nil"/>
              <w:left w:val="nil"/>
              <w:bottom w:val="single" w:sz="8" w:space="0" w:color="auto"/>
              <w:right w:val="nil"/>
            </w:tcBorders>
            <w:shd w:val="clear" w:color="auto" w:fill="auto"/>
            <w:hideMark/>
          </w:tcPr>
          <w:p w14:paraId="3B657A5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7.99</w:t>
            </w:r>
          </w:p>
        </w:tc>
        <w:tc>
          <w:tcPr>
            <w:tcW w:w="494" w:type="pct"/>
            <w:tcBorders>
              <w:top w:val="nil"/>
              <w:left w:val="single" w:sz="8" w:space="0" w:color="auto"/>
              <w:bottom w:val="nil"/>
              <w:right w:val="single" w:sz="8" w:space="0" w:color="auto"/>
            </w:tcBorders>
            <w:shd w:val="clear" w:color="000000" w:fill="F2F2F2"/>
            <w:hideMark/>
          </w:tcPr>
          <w:p w14:paraId="3F1311DB" w14:textId="77777777" w:rsidR="00CE354E" w:rsidRPr="004B0F35" w:rsidRDefault="00CE354E" w:rsidP="00667810">
            <w:pPr>
              <w:spacing w:before="0" w:after="0"/>
              <w:rPr>
                <w:rFonts w:cstheme="minorHAnsi"/>
                <w:color w:val="000000"/>
                <w:sz w:val="20"/>
                <w:szCs w:val="20"/>
              </w:rPr>
            </w:pPr>
          </w:p>
        </w:tc>
      </w:tr>
      <w:tr w:rsidR="00CE354E" w:rsidRPr="004B0F35" w14:paraId="74A946C0"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07C63352"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59AB8683"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Pump Heat In</w:t>
            </w:r>
          </w:p>
        </w:tc>
        <w:tc>
          <w:tcPr>
            <w:tcW w:w="591" w:type="pct"/>
            <w:tcBorders>
              <w:top w:val="nil"/>
              <w:left w:val="nil"/>
              <w:bottom w:val="single" w:sz="8" w:space="0" w:color="auto"/>
              <w:right w:val="nil"/>
            </w:tcBorders>
            <w:shd w:val="clear" w:color="auto" w:fill="auto"/>
            <w:hideMark/>
          </w:tcPr>
          <w:p w14:paraId="2454327F"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-19.60</w:t>
            </w:r>
          </w:p>
        </w:tc>
        <w:tc>
          <w:tcPr>
            <w:tcW w:w="591" w:type="pct"/>
            <w:tcBorders>
              <w:top w:val="single" w:sz="8" w:space="0" w:color="auto"/>
              <w:left w:val="single" w:sz="8" w:space="0" w:color="auto"/>
              <w:bottom w:val="nil"/>
              <w:right w:val="single" w:sz="8" w:space="0" w:color="auto"/>
            </w:tcBorders>
            <w:shd w:val="clear" w:color="000000" w:fill="F2F2F2"/>
            <w:hideMark/>
          </w:tcPr>
          <w:p w14:paraId="4D2202FC"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2CD95703"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-19.59</w:t>
            </w:r>
          </w:p>
        </w:tc>
        <w:tc>
          <w:tcPr>
            <w:tcW w:w="593" w:type="pct"/>
            <w:tcBorders>
              <w:top w:val="single" w:sz="8" w:space="0" w:color="auto"/>
              <w:left w:val="single" w:sz="8" w:space="0" w:color="auto"/>
              <w:bottom w:val="nil"/>
              <w:right w:val="single" w:sz="8" w:space="0" w:color="auto"/>
            </w:tcBorders>
            <w:shd w:val="clear" w:color="000000" w:fill="F2F2F2"/>
            <w:hideMark/>
          </w:tcPr>
          <w:p w14:paraId="28EBE349"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nil"/>
            </w:tcBorders>
            <w:shd w:val="clear" w:color="auto" w:fill="auto"/>
            <w:hideMark/>
          </w:tcPr>
          <w:p w14:paraId="7C7B2F26"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-0.01</w:t>
            </w:r>
          </w:p>
        </w:tc>
        <w:tc>
          <w:tcPr>
            <w:tcW w:w="494" w:type="pct"/>
            <w:tcBorders>
              <w:top w:val="nil"/>
              <w:left w:val="single" w:sz="8" w:space="0" w:color="auto"/>
              <w:bottom w:val="single" w:sz="8" w:space="0" w:color="auto"/>
              <w:right w:val="single" w:sz="8" w:space="0" w:color="auto"/>
            </w:tcBorders>
            <w:shd w:val="clear" w:color="000000" w:fill="F2F2F2"/>
            <w:hideMark/>
          </w:tcPr>
          <w:p w14:paraId="1CCCB786" w14:textId="77777777" w:rsidR="00CE354E" w:rsidRPr="004B0F35" w:rsidRDefault="00CE354E" w:rsidP="00667810">
            <w:pPr>
              <w:spacing w:before="0" w:after="0"/>
              <w:rPr>
                <w:rFonts w:cstheme="minorHAnsi"/>
                <w:color w:val="000000"/>
                <w:sz w:val="20"/>
                <w:szCs w:val="20"/>
              </w:rPr>
            </w:pPr>
          </w:p>
        </w:tc>
      </w:tr>
      <w:tr w:rsidR="00CE354E" w:rsidRPr="004B0F35" w14:paraId="2D7E15B0" w14:textId="77777777" w:rsidTr="00CE354E">
        <w:trPr>
          <w:trHeight w:val="245"/>
        </w:trPr>
        <w:tc>
          <w:tcPr>
            <w:tcW w:w="509" w:type="pct"/>
            <w:vMerge/>
            <w:tcBorders>
              <w:top w:val="nil"/>
              <w:left w:val="single" w:sz="8" w:space="0" w:color="auto"/>
              <w:bottom w:val="single" w:sz="8" w:space="0" w:color="000000"/>
              <w:right w:val="single" w:sz="8" w:space="0" w:color="auto"/>
            </w:tcBorders>
            <w:vAlign w:val="center"/>
            <w:hideMark/>
          </w:tcPr>
          <w:p w14:paraId="1D0C20FF" w14:textId="77777777" w:rsidR="00CE354E" w:rsidRPr="004B0F35" w:rsidRDefault="00CE354E" w:rsidP="00667810">
            <w:pPr>
              <w:spacing w:before="0" w:after="0"/>
              <w:rPr>
                <w:rFonts w:cstheme="minorHAnsi"/>
                <w:color w:val="000000"/>
                <w:sz w:val="20"/>
                <w:szCs w:val="20"/>
              </w:rPr>
            </w:pPr>
          </w:p>
        </w:tc>
        <w:tc>
          <w:tcPr>
            <w:tcW w:w="1135" w:type="pct"/>
            <w:tcBorders>
              <w:top w:val="nil"/>
              <w:left w:val="nil"/>
              <w:bottom w:val="single" w:sz="8" w:space="0" w:color="auto"/>
              <w:right w:val="single" w:sz="8" w:space="0" w:color="auto"/>
            </w:tcBorders>
            <w:shd w:val="clear" w:color="auto" w:fill="auto"/>
            <w:noWrap/>
            <w:vAlign w:val="bottom"/>
            <w:hideMark/>
          </w:tcPr>
          <w:p w14:paraId="755AAA2E" w14:textId="77777777" w:rsidR="00CE354E" w:rsidRPr="004B0F35" w:rsidRDefault="00CE354E" w:rsidP="00667810">
            <w:pPr>
              <w:spacing w:before="0" w:after="0"/>
              <w:rPr>
                <w:rFonts w:cstheme="minorHAnsi"/>
                <w:color w:val="000000"/>
                <w:sz w:val="20"/>
                <w:szCs w:val="20"/>
              </w:rPr>
            </w:pPr>
            <w:r w:rsidRPr="004B0F35">
              <w:rPr>
                <w:rFonts w:cstheme="minorHAnsi"/>
                <w:color w:val="000000"/>
                <w:sz w:val="20"/>
                <w:szCs w:val="20"/>
              </w:rPr>
              <w:t>Total Gas Usage</w:t>
            </w:r>
          </w:p>
        </w:tc>
        <w:tc>
          <w:tcPr>
            <w:tcW w:w="591" w:type="pct"/>
            <w:tcBorders>
              <w:top w:val="nil"/>
              <w:left w:val="nil"/>
              <w:bottom w:val="single" w:sz="8" w:space="0" w:color="auto"/>
              <w:right w:val="nil"/>
            </w:tcBorders>
            <w:shd w:val="clear" w:color="auto" w:fill="auto"/>
            <w:hideMark/>
          </w:tcPr>
          <w:p w14:paraId="323F94DB"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521.05</w:t>
            </w:r>
          </w:p>
        </w:tc>
        <w:tc>
          <w:tcPr>
            <w:tcW w:w="591" w:type="pct"/>
            <w:tcBorders>
              <w:top w:val="nil"/>
              <w:left w:val="single" w:sz="8" w:space="0" w:color="auto"/>
              <w:bottom w:val="single" w:sz="8" w:space="0" w:color="auto"/>
              <w:right w:val="single" w:sz="8" w:space="0" w:color="auto"/>
            </w:tcBorders>
            <w:shd w:val="clear" w:color="000000" w:fill="F2F2F2"/>
            <w:hideMark/>
          </w:tcPr>
          <w:p w14:paraId="4C3E6FFF" w14:textId="77777777" w:rsidR="00CE354E" w:rsidRPr="004B0F35" w:rsidRDefault="00CE354E" w:rsidP="00667810">
            <w:pPr>
              <w:spacing w:before="0" w:after="0"/>
              <w:rPr>
                <w:rFonts w:cstheme="minorHAnsi"/>
                <w:color w:val="000000"/>
                <w:sz w:val="20"/>
                <w:szCs w:val="20"/>
              </w:rPr>
            </w:pPr>
          </w:p>
        </w:tc>
        <w:tc>
          <w:tcPr>
            <w:tcW w:w="592" w:type="pct"/>
            <w:tcBorders>
              <w:top w:val="nil"/>
              <w:left w:val="nil"/>
              <w:bottom w:val="single" w:sz="8" w:space="0" w:color="auto"/>
              <w:right w:val="nil"/>
            </w:tcBorders>
            <w:shd w:val="clear" w:color="auto" w:fill="auto"/>
            <w:hideMark/>
          </w:tcPr>
          <w:p w14:paraId="125B6CB2" w14:textId="77777777" w:rsidR="00CE354E" w:rsidRPr="004B0F35" w:rsidRDefault="00CE354E" w:rsidP="00667810">
            <w:pPr>
              <w:spacing w:before="0" w:after="0"/>
              <w:jc w:val="right"/>
              <w:rPr>
                <w:rFonts w:cstheme="minorHAnsi"/>
                <w:color w:val="000000"/>
                <w:sz w:val="20"/>
                <w:szCs w:val="20"/>
              </w:rPr>
            </w:pPr>
            <w:r w:rsidRPr="004B0F35">
              <w:rPr>
                <w:rFonts w:cstheme="minorHAnsi"/>
                <w:sz w:val="20"/>
                <w:szCs w:val="20"/>
              </w:rPr>
              <w:t>513.07</w:t>
            </w:r>
          </w:p>
        </w:tc>
        <w:tc>
          <w:tcPr>
            <w:tcW w:w="593" w:type="pct"/>
            <w:tcBorders>
              <w:top w:val="nil"/>
              <w:left w:val="single" w:sz="8" w:space="0" w:color="auto"/>
              <w:bottom w:val="single" w:sz="8" w:space="0" w:color="auto"/>
              <w:right w:val="single" w:sz="8" w:space="0" w:color="auto"/>
            </w:tcBorders>
            <w:shd w:val="clear" w:color="000000" w:fill="F2F2F2"/>
            <w:hideMark/>
          </w:tcPr>
          <w:p w14:paraId="5865A115" w14:textId="77777777" w:rsidR="00CE354E" w:rsidRPr="004B0F35" w:rsidRDefault="00CE354E" w:rsidP="00667810">
            <w:pPr>
              <w:spacing w:before="0" w:after="0"/>
              <w:rPr>
                <w:rFonts w:cstheme="minorHAnsi"/>
                <w:color w:val="000000"/>
                <w:sz w:val="20"/>
                <w:szCs w:val="20"/>
              </w:rPr>
            </w:pPr>
          </w:p>
        </w:tc>
        <w:tc>
          <w:tcPr>
            <w:tcW w:w="495" w:type="pct"/>
            <w:tcBorders>
              <w:top w:val="nil"/>
              <w:left w:val="nil"/>
              <w:bottom w:val="single" w:sz="8" w:space="0" w:color="auto"/>
              <w:right w:val="single" w:sz="8" w:space="0" w:color="auto"/>
            </w:tcBorders>
            <w:shd w:val="clear" w:color="auto" w:fill="auto"/>
            <w:hideMark/>
          </w:tcPr>
          <w:p w14:paraId="4DE19A37"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7.98</w:t>
            </w:r>
          </w:p>
        </w:tc>
        <w:tc>
          <w:tcPr>
            <w:tcW w:w="494" w:type="pct"/>
            <w:tcBorders>
              <w:top w:val="nil"/>
              <w:left w:val="nil"/>
              <w:bottom w:val="single" w:sz="8" w:space="0" w:color="auto"/>
              <w:right w:val="single" w:sz="8" w:space="0" w:color="auto"/>
            </w:tcBorders>
            <w:shd w:val="clear" w:color="auto" w:fill="auto"/>
            <w:hideMark/>
          </w:tcPr>
          <w:p w14:paraId="62E605EC" w14:textId="77777777" w:rsidR="00CE354E" w:rsidRPr="004B0F35" w:rsidRDefault="00CE354E" w:rsidP="00667810">
            <w:pPr>
              <w:spacing w:before="0" w:after="0"/>
              <w:jc w:val="right"/>
              <w:rPr>
                <w:rFonts w:cstheme="minorHAnsi"/>
                <w:b/>
                <w:bCs/>
                <w:color w:val="000000"/>
                <w:sz w:val="20"/>
                <w:szCs w:val="20"/>
              </w:rPr>
            </w:pPr>
            <w:r w:rsidRPr="004B0F35">
              <w:rPr>
                <w:rFonts w:cstheme="minorHAnsi"/>
                <w:sz w:val="20"/>
                <w:szCs w:val="20"/>
              </w:rPr>
              <w:t>1.5%</w:t>
            </w:r>
          </w:p>
        </w:tc>
      </w:tr>
    </w:tbl>
    <w:p w14:paraId="5912CA71" w14:textId="77777777" w:rsidR="00CE354E" w:rsidRDefault="00CE354E" w:rsidP="00CE354E"/>
    <w:p w14:paraId="66AA11F4" w14:textId="616CC2C5" w:rsidR="00CE354E" w:rsidRDefault="00CE354E" w:rsidP="00CE354E">
      <w:r>
        <w:t>To expedite results for all other climate zones, a linear trendline of annual gas savings versus heating degree days</w:t>
      </w:r>
      <w:r w:rsidR="005A0EE0">
        <w:rPr>
          <w:rStyle w:val="FootnoteReference"/>
        </w:rPr>
        <w:footnoteReference w:id="13"/>
      </w:r>
      <w:r>
        <w:t xml:space="preserve"> was created from the above three climate zones and used to extrapolate the results. This is a gross but sufficient approximation. The results are shown in the </w:t>
      </w:r>
      <w:r w:rsidR="005A0EE0">
        <w:t>figure</w:t>
      </w:r>
      <w:r>
        <w:t xml:space="preserve"> and table</w:t>
      </w:r>
      <w:r w:rsidR="005A0EE0">
        <w:t xml:space="preserve"> below</w:t>
      </w:r>
      <w:r>
        <w:t xml:space="preserve">. </w:t>
      </w:r>
    </w:p>
    <w:p w14:paraId="2478F894" w14:textId="77777777" w:rsidR="00473A64" w:rsidRDefault="00473A64" w:rsidP="00CE354E"/>
    <w:p w14:paraId="257FAD49" w14:textId="7CCC5FF0" w:rsidR="00CE354E" w:rsidRDefault="00CE354E" w:rsidP="009C2046">
      <w:r>
        <w:rPr>
          <w:noProof/>
        </w:rPr>
        <w:drawing>
          <wp:inline distT="0" distB="0" distL="0" distR="0" wp14:anchorId="3DD052E7" wp14:editId="2025225C">
            <wp:extent cx="3462035" cy="2616061"/>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3180" t="12977" r="2119" b="2378"/>
                    <a:stretch/>
                  </pic:blipFill>
                  <pic:spPr bwMode="auto">
                    <a:xfrm>
                      <a:off x="0" y="0"/>
                      <a:ext cx="3463803" cy="2617397"/>
                    </a:xfrm>
                    <a:prstGeom prst="rect">
                      <a:avLst/>
                    </a:prstGeom>
                    <a:noFill/>
                    <a:ln>
                      <a:noFill/>
                    </a:ln>
                    <a:extLst>
                      <a:ext uri="{53640926-AAD7-44D8-BBD7-CCE9431645EC}">
                        <a14:shadowObscured xmlns:a14="http://schemas.microsoft.com/office/drawing/2010/main"/>
                      </a:ext>
                    </a:extLst>
                  </pic:spPr>
                </pic:pic>
              </a:graphicData>
            </a:graphic>
          </wp:inline>
        </w:drawing>
      </w:r>
    </w:p>
    <w:p w14:paraId="18C2EF91" w14:textId="63ABED8F" w:rsidR="001D6850" w:rsidRDefault="00B22D00" w:rsidP="00B809CE">
      <w:pPr>
        <w:pStyle w:val="Caption"/>
      </w:pPr>
      <w:bookmarkStart w:id="61" w:name="_Toc514140451"/>
      <w:r>
        <w:t xml:space="preserve">Statewide </w:t>
      </w:r>
      <w:bookmarkEnd w:id="61"/>
      <w:r w:rsidR="0018793D">
        <w:t>Savings versus Heating Degree Days</w:t>
      </w:r>
    </w:p>
    <w:p w14:paraId="24DCF599" w14:textId="77777777" w:rsidR="00667810" w:rsidRPr="00667810" w:rsidRDefault="00667810" w:rsidP="00667810"/>
    <w:p w14:paraId="1E237403" w14:textId="55C571F2" w:rsidR="00CE354E" w:rsidRPr="00920905" w:rsidRDefault="00CE354E" w:rsidP="00B809CE">
      <w:pPr>
        <w:pStyle w:val="Caption"/>
      </w:pPr>
      <w:bookmarkStart w:id="62" w:name="_Toc517096833"/>
      <w:r>
        <w:lastRenderedPageBreak/>
        <w:t>OpenStudio Gas Savings Extrapolated to Other Climate Zones</w:t>
      </w:r>
      <w:bookmarkEnd w:id="62"/>
    </w:p>
    <w:tbl>
      <w:tblPr>
        <w:tblStyle w:val="TableGrid1"/>
        <w:tblW w:w="3295" w:type="pct"/>
        <w:tblLook w:val="01E0" w:firstRow="1" w:lastRow="1" w:firstColumn="1" w:lastColumn="1" w:noHBand="0" w:noVBand="0"/>
      </w:tblPr>
      <w:tblGrid>
        <w:gridCol w:w="1499"/>
        <w:gridCol w:w="1608"/>
        <w:gridCol w:w="1616"/>
        <w:gridCol w:w="1439"/>
      </w:tblGrid>
      <w:tr w:rsidR="00CE354E" w:rsidRPr="004B0F35" w14:paraId="1078201F" w14:textId="77777777" w:rsidTr="0018793D">
        <w:trPr>
          <w:trHeight w:val="287"/>
        </w:trPr>
        <w:tc>
          <w:tcPr>
            <w:tcW w:w="1216" w:type="pct"/>
            <w:vMerge w:val="restart"/>
            <w:shd w:val="clear" w:color="auto" w:fill="D9D9D9" w:themeFill="background1" w:themeFillShade="D9"/>
            <w:vAlign w:val="bottom"/>
          </w:tcPr>
          <w:p w14:paraId="5126477E" w14:textId="77777777" w:rsidR="00CE354E" w:rsidRPr="004B0F35" w:rsidRDefault="00CE354E" w:rsidP="00FA1F0D">
            <w:pPr>
              <w:spacing w:after="0"/>
              <w:jc w:val="right"/>
              <w:rPr>
                <w:rFonts w:cstheme="minorHAnsi"/>
                <w:b/>
                <w:sz w:val="20"/>
                <w:highlight w:val="yellow"/>
              </w:rPr>
            </w:pPr>
            <w:r w:rsidRPr="004B0F35">
              <w:rPr>
                <w:b/>
                <w:sz w:val="20"/>
              </w:rPr>
              <w:t>Climate Zone</w:t>
            </w:r>
          </w:p>
        </w:tc>
        <w:tc>
          <w:tcPr>
            <w:tcW w:w="1305" w:type="pct"/>
            <w:vMerge w:val="restart"/>
            <w:shd w:val="clear" w:color="auto" w:fill="D9D9D9" w:themeFill="background1" w:themeFillShade="D9"/>
            <w:vAlign w:val="bottom"/>
          </w:tcPr>
          <w:p w14:paraId="449193A6" w14:textId="77777777" w:rsidR="00CE354E" w:rsidRPr="004B0F35" w:rsidRDefault="00CE354E" w:rsidP="00FA1F0D">
            <w:pPr>
              <w:spacing w:after="0"/>
              <w:jc w:val="right"/>
              <w:rPr>
                <w:rFonts w:cstheme="minorHAnsi"/>
                <w:b/>
                <w:sz w:val="20"/>
              </w:rPr>
            </w:pPr>
            <w:r w:rsidRPr="004B0F35">
              <w:rPr>
                <w:b/>
                <w:sz w:val="20"/>
              </w:rPr>
              <w:t>HDD at 50ۜ°F</w:t>
            </w:r>
          </w:p>
        </w:tc>
        <w:tc>
          <w:tcPr>
            <w:tcW w:w="2479" w:type="pct"/>
            <w:gridSpan w:val="2"/>
            <w:shd w:val="clear" w:color="auto" w:fill="D9D9D9" w:themeFill="background1" w:themeFillShade="D9"/>
            <w:vAlign w:val="bottom"/>
          </w:tcPr>
          <w:p w14:paraId="1FDA3035" w14:textId="77777777" w:rsidR="00CE354E" w:rsidRPr="004B0F35" w:rsidRDefault="00CE354E" w:rsidP="00FA1F0D">
            <w:pPr>
              <w:spacing w:after="0"/>
              <w:jc w:val="right"/>
              <w:rPr>
                <w:rFonts w:cstheme="minorHAnsi"/>
                <w:b/>
                <w:sz w:val="20"/>
              </w:rPr>
            </w:pPr>
            <w:r w:rsidRPr="004B0F35">
              <w:rPr>
                <w:b/>
                <w:sz w:val="20"/>
              </w:rPr>
              <w:t>Boiler Gas Usage [therms/unit/yr]</w:t>
            </w:r>
          </w:p>
        </w:tc>
      </w:tr>
      <w:tr w:rsidR="00CE354E" w:rsidRPr="004B0F35" w14:paraId="48D89DCC" w14:textId="77777777" w:rsidTr="0018793D">
        <w:trPr>
          <w:trHeight w:val="245"/>
        </w:trPr>
        <w:tc>
          <w:tcPr>
            <w:tcW w:w="1216" w:type="pct"/>
            <w:vMerge/>
            <w:shd w:val="clear" w:color="auto" w:fill="D9D9D9" w:themeFill="background1" w:themeFillShade="D9"/>
            <w:vAlign w:val="bottom"/>
          </w:tcPr>
          <w:p w14:paraId="6B7507F2" w14:textId="77777777" w:rsidR="00CE354E" w:rsidRPr="004B0F35" w:rsidRDefault="00CE354E" w:rsidP="00FA1F0D">
            <w:pPr>
              <w:spacing w:after="0"/>
              <w:jc w:val="center"/>
              <w:rPr>
                <w:rFonts w:cstheme="minorHAnsi"/>
                <w:b/>
                <w:sz w:val="20"/>
              </w:rPr>
            </w:pPr>
          </w:p>
        </w:tc>
        <w:tc>
          <w:tcPr>
            <w:tcW w:w="1305" w:type="pct"/>
            <w:vMerge/>
            <w:shd w:val="clear" w:color="auto" w:fill="D9D9D9" w:themeFill="background1" w:themeFillShade="D9"/>
            <w:vAlign w:val="bottom"/>
          </w:tcPr>
          <w:p w14:paraId="03BEC215" w14:textId="77777777" w:rsidR="00CE354E" w:rsidRPr="004B0F35" w:rsidRDefault="00CE354E" w:rsidP="00FA1F0D">
            <w:pPr>
              <w:spacing w:after="0"/>
              <w:jc w:val="right"/>
              <w:rPr>
                <w:rFonts w:cstheme="minorHAnsi"/>
                <w:b/>
                <w:sz w:val="20"/>
              </w:rPr>
            </w:pPr>
          </w:p>
        </w:tc>
        <w:tc>
          <w:tcPr>
            <w:tcW w:w="1311" w:type="pct"/>
            <w:shd w:val="clear" w:color="auto" w:fill="D9D9D9" w:themeFill="background1" w:themeFillShade="D9"/>
            <w:vAlign w:val="bottom"/>
          </w:tcPr>
          <w:p w14:paraId="48285A26" w14:textId="77777777" w:rsidR="00CE354E" w:rsidRPr="004B0F35" w:rsidRDefault="00CE354E" w:rsidP="00FA1F0D">
            <w:pPr>
              <w:spacing w:after="0"/>
              <w:jc w:val="right"/>
              <w:rPr>
                <w:rFonts w:cstheme="minorHAnsi"/>
                <w:b/>
                <w:sz w:val="20"/>
              </w:rPr>
            </w:pPr>
            <w:r w:rsidRPr="004B0F35">
              <w:rPr>
                <w:b/>
                <w:sz w:val="20"/>
              </w:rPr>
              <w:t>Modeled</w:t>
            </w:r>
          </w:p>
        </w:tc>
        <w:tc>
          <w:tcPr>
            <w:tcW w:w="1168" w:type="pct"/>
            <w:shd w:val="clear" w:color="auto" w:fill="D9D9D9" w:themeFill="background1" w:themeFillShade="D9"/>
            <w:vAlign w:val="bottom"/>
          </w:tcPr>
          <w:p w14:paraId="4F173853" w14:textId="77777777" w:rsidR="00CE354E" w:rsidRPr="004B0F35" w:rsidRDefault="00CE354E" w:rsidP="00FA1F0D">
            <w:pPr>
              <w:spacing w:after="0"/>
              <w:jc w:val="right"/>
              <w:rPr>
                <w:rFonts w:cstheme="minorHAnsi"/>
                <w:b/>
                <w:sz w:val="20"/>
              </w:rPr>
            </w:pPr>
            <w:r w:rsidRPr="004B0F35">
              <w:rPr>
                <w:b/>
                <w:sz w:val="20"/>
              </w:rPr>
              <w:t>Estimated</w:t>
            </w:r>
          </w:p>
        </w:tc>
      </w:tr>
      <w:tr w:rsidR="00FA1F0D" w:rsidRPr="00FA1F0D" w14:paraId="321E060D" w14:textId="77777777" w:rsidTr="0018793D">
        <w:trPr>
          <w:trHeight w:val="269"/>
        </w:trPr>
        <w:tc>
          <w:tcPr>
            <w:tcW w:w="1216" w:type="pct"/>
            <w:vAlign w:val="bottom"/>
          </w:tcPr>
          <w:p w14:paraId="014B4325" w14:textId="52029046" w:rsidR="00FA1F0D" w:rsidRPr="004B0F35" w:rsidRDefault="00FA1F0D" w:rsidP="00FA1F0D">
            <w:pPr>
              <w:spacing w:before="0" w:after="0" w:line="240" w:lineRule="auto"/>
              <w:jc w:val="center"/>
              <w:rPr>
                <w:sz w:val="20"/>
              </w:rPr>
            </w:pPr>
            <w:r>
              <w:rPr>
                <w:sz w:val="20"/>
              </w:rPr>
              <w:t>1</w:t>
            </w:r>
          </w:p>
        </w:tc>
        <w:tc>
          <w:tcPr>
            <w:tcW w:w="1305" w:type="pct"/>
          </w:tcPr>
          <w:p w14:paraId="3F5B8176" w14:textId="758387ED" w:rsidR="00FA1F0D" w:rsidRDefault="00FA1F0D" w:rsidP="00FA1F0D">
            <w:pPr>
              <w:spacing w:before="0" w:after="0" w:line="240" w:lineRule="auto"/>
              <w:jc w:val="center"/>
              <w:rPr>
                <w:sz w:val="20"/>
              </w:rPr>
            </w:pPr>
            <w:r>
              <w:rPr>
                <w:sz w:val="20"/>
              </w:rPr>
              <w:t>793.3</w:t>
            </w:r>
          </w:p>
        </w:tc>
        <w:tc>
          <w:tcPr>
            <w:tcW w:w="1311" w:type="pct"/>
            <w:vAlign w:val="bottom"/>
          </w:tcPr>
          <w:p w14:paraId="34826D5A" w14:textId="77777777" w:rsidR="00FA1F0D" w:rsidRPr="004B0F35" w:rsidRDefault="00FA1F0D" w:rsidP="00FA1F0D">
            <w:pPr>
              <w:spacing w:before="0" w:after="0" w:line="240" w:lineRule="auto"/>
              <w:jc w:val="center"/>
              <w:rPr>
                <w:sz w:val="20"/>
              </w:rPr>
            </w:pPr>
          </w:p>
        </w:tc>
        <w:tc>
          <w:tcPr>
            <w:tcW w:w="1168" w:type="pct"/>
          </w:tcPr>
          <w:p w14:paraId="0AA9E0B4" w14:textId="245FFB5D" w:rsidR="00FA1F0D" w:rsidRDefault="00FA1F0D" w:rsidP="00FA1F0D">
            <w:pPr>
              <w:spacing w:before="0" w:after="0" w:line="240" w:lineRule="auto"/>
              <w:jc w:val="center"/>
              <w:rPr>
                <w:sz w:val="20"/>
              </w:rPr>
            </w:pPr>
            <w:r>
              <w:rPr>
                <w:sz w:val="20"/>
              </w:rPr>
              <w:t>11.7</w:t>
            </w:r>
          </w:p>
        </w:tc>
      </w:tr>
      <w:tr w:rsidR="00CE354E" w:rsidRPr="004B0F35" w14:paraId="0CD93D8C" w14:textId="77777777" w:rsidTr="0018793D">
        <w:tc>
          <w:tcPr>
            <w:tcW w:w="1216" w:type="pct"/>
            <w:vAlign w:val="bottom"/>
          </w:tcPr>
          <w:p w14:paraId="71053166" w14:textId="77777777" w:rsidR="00CE354E" w:rsidRPr="004B0F35" w:rsidRDefault="00CE354E" w:rsidP="00FA1F0D">
            <w:pPr>
              <w:spacing w:before="0" w:after="0" w:line="240" w:lineRule="auto"/>
              <w:jc w:val="center"/>
              <w:rPr>
                <w:rFonts w:cstheme="minorHAnsi"/>
                <w:sz w:val="20"/>
              </w:rPr>
            </w:pPr>
            <w:r w:rsidRPr="004B0F35">
              <w:rPr>
                <w:sz w:val="20"/>
              </w:rPr>
              <w:t>2</w:t>
            </w:r>
          </w:p>
        </w:tc>
        <w:tc>
          <w:tcPr>
            <w:tcW w:w="1305" w:type="pct"/>
          </w:tcPr>
          <w:p w14:paraId="6F45058C" w14:textId="77777777" w:rsidR="00CE354E" w:rsidRPr="004B0F35" w:rsidRDefault="00CE354E" w:rsidP="00FA1F0D">
            <w:pPr>
              <w:spacing w:before="0" w:after="0" w:line="240" w:lineRule="auto"/>
              <w:jc w:val="center"/>
              <w:rPr>
                <w:rFonts w:cstheme="minorHAnsi"/>
                <w:sz w:val="20"/>
              </w:rPr>
            </w:pPr>
            <w:r w:rsidRPr="004B0F35">
              <w:rPr>
                <w:sz w:val="20"/>
              </w:rPr>
              <w:t>654.8</w:t>
            </w:r>
          </w:p>
        </w:tc>
        <w:tc>
          <w:tcPr>
            <w:tcW w:w="1311" w:type="pct"/>
            <w:vAlign w:val="bottom"/>
          </w:tcPr>
          <w:p w14:paraId="45F2B07D" w14:textId="77777777" w:rsidR="00CE354E" w:rsidRPr="004B0F35" w:rsidRDefault="00CE354E" w:rsidP="00FA1F0D">
            <w:pPr>
              <w:spacing w:before="0" w:after="0" w:line="240" w:lineRule="auto"/>
              <w:jc w:val="center"/>
              <w:rPr>
                <w:sz w:val="20"/>
              </w:rPr>
            </w:pPr>
          </w:p>
        </w:tc>
        <w:tc>
          <w:tcPr>
            <w:tcW w:w="1168" w:type="pct"/>
          </w:tcPr>
          <w:p w14:paraId="0A698328" w14:textId="77777777" w:rsidR="00CE354E" w:rsidRPr="004B0F35" w:rsidRDefault="00CE354E" w:rsidP="00FA1F0D">
            <w:pPr>
              <w:spacing w:before="0" w:after="0" w:line="240" w:lineRule="auto"/>
              <w:jc w:val="center"/>
              <w:rPr>
                <w:b/>
                <w:sz w:val="20"/>
              </w:rPr>
            </w:pPr>
            <w:r w:rsidRPr="004B0F35">
              <w:rPr>
                <w:sz w:val="20"/>
              </w:rPr>
              <w:t>12.1</w:t>
            </w:r>
          </w:p>
        </w:tc>
      </w:tr>
      <w:tr w:rsidR="00CE354E" w:rsidRPr="004B0F35" w14:paraId="3062E70B" w14:textId="77777777" w:rsidTr="0018793D">
        <w:tc>
          <w:tcPr>
            <w:tcW w:w="1216" w:type="pct"/>
            <w:vAlign w:val="bottom"/>
          </w:tcPr>
          <w:p w14:paraId="051AD730" w14:textId="77777777" w:rsidR="00CE354E" w:rsidRPr="004B0F35" w:rsidRDefault="00CE354E" w:rsidP="00FA1F0D">
            <w:pPr>
              <w:spacing w:before="0" w:after="0" w:line="240" w:lineRule="auto"/>
              <w:jc w:val="center"/>
              <w:rPr>
                <w:rFonts w:cstheme="minorHAnsi"/>
                <w:sz w:val="20"/>
              </w:rPr>
            </w:pPr>
            <w:r w:rsidRPr="004B0F35">
              <w:rPr>
                <w:sz w:val="20"/>
              </w:rPr>
              <w:t>3</w:t>
            </w:r>
          </w:p>
        </w:tc>
        <w:tc>
          <w:tcPr>
            <w:tcW w:w="1305" w:type="pct"/>
          </w:tcPr>
          <w:p w14:paraId="71BE102C" w14:textId="77777777" w:rsidR="00CE354E" w:rsidRPr="004B0F35" w:rsidRDefault="00CE354E" w:rsidP="00FA1F0D">
            <w:pPr>
              <w:spacing w:before="0" w:after="0" w:line="240" w:lineRule="auto"/>
              <w:jc w:val="center"/>
              <w:rPr>
                <w:rFonts w:cstheme="minorHAnsi"/>
                <w:sz w:val="20"/>
              </w:rPr>
            </w:pPr>
            <w:r w:rsidRPr="004B0F35">
              <w:rPr>
                <w:sz w:val="20"/>
              </w:rPr>
              <w:t>262.2</w:t>
            </w:r>
          </w:p>
        </w:tc>
        <w:tc>
          <w:tcPr>
            <w:tcW w:w="1311" w:type="pct"/>
            <w:vAlign w:val="bottom"/>
          </w:tcPr>
          <w:p w14:paraId="237F499E" w14:textId="77777777" w:rsidR="00CE354E" w:rsidRPr="004B0F35" w:rsidRDefault="00CE354E" w:rsidP="00FA1F0D">
            <w:pPr>
              <w:spacing w:before="0" w:after="0" w:line="240" w:lineRule="auto"/>
              <w:jc w:val="center"/>
              <w:rPr>
                <w:sz w:val="20"/>
              </w:rPr>
            </w:pPr>
          </w:p>
        </w:tc>
        <w:tc>
          <w:tcPr>
            <w:tcW w:w="1168" w:type="pct"/>
          </w:tcPr>
          <w:p w14:paraId="6537FFF3" w14:textId="77777777" w:rsidR="00CE354E" w:rsidRPr="004B0F35" w:rsidRDefault="00CE354E" w:rsidP="00FA1F0D">
            <w:pPr>
              <w:spacing w:before="0" w:after="0" w:line="240" w:lineRule="auto"/>
              <w:jc w:val="center"/>
              <w:rPr>
                <w:b/>
                <w:sz w:val="20"/>
              </w:rPr>
            </w:pPr>
            <w:r w:rsidRPr="004B0F35">
              <w:rPr>
                <w:sz w:val="20"/>
              </w:rPr>
              <w:t>13.2</w:t>
            </w:r>
          </w:p>
        </w:tc>
      </w:tr>
      <w:tr w:rsidR="00CE354E" w:rsidRPr="004B0F35" w14:paraId="36A690D1" w14:textId="77777777" w:rsidTr="0018793D">
        <w:tc>
          <w:tcPr>
            <w:tcW w:w="1216" w:type="pct"/>
            <w:vAlign w:val="bottom"/>
          </w:tcPr>
          <w:p w14:paraId="5D465BB3" w14:textId="77777777" w:rsidR="00CE354E" w:rsidRPr="004B0F35" w:rsidRDefault="00CE354E" w:rsidP="00FA1F0D">
            <w:pPr>
              <w:spacing w:before="0" w:after="0" w:line="240" w:lineRule="auto"/>
              <w:jc w:val="center"/>
              <w:rPr>
                <w:sz w:val="20"/>
              </w:rPr>
            </w:pPr>
            <w:r w:rsidRPr="004B0F35">
              <w:rPr>
                <w:sz w:val="20"/>
              </w:rPr>
              <w:t>4</w:t>
            </w:r>
          </w:p>
        </w:tc>
        <w:tc>
          <w:tcPr>
            <w:tcW w:w="1305" w:type="pct"/>
          </w:tcPr>
          <w:p w14:paraId="6F38BF89" w14:textId="77777777" w:rsidR="00CE354E" w:rsidRPr="004B0F35" w:rsidRDefault="00CE354E" w:rsidP="00FA1F0D">
            <w:pPr>
              <w:spacing w:before="0" w:after="0" w:line="240" w:lineRule="auto"/>
              <w:jc w:val="center"/>
              <w:rPr>
                <w:sz w:val="20"/>
              </w:rPr>
            </w:pPr>
            <w:r w:rsidRPr="004B0F35">
              <w:rPr>
                <w:sz w:val="20"/>
              </w:rPr>
              <w:t>470</w:t>
            </w:r>
          </w:p>
        </w:tc>
        <w:tc>
          <w:tcPr>
            <w:tcW w:w="1311" w:type="pct"/>
            <w:vAlign w:val="bottom"/>
          </w:tcPr>
          <w:p w14:paraId="6F18DEFB" w14:textId="77777777" w:rsidR="00CE354E" w:rsidRPr="004B0F35" w:rsidRDefault="00CE354E" w:rsidP="00FA1F0D">
            <w:pPr>
              <w:spacing w:before="0" w:after="0" w:line="240" w:lineRule="auto"/>
              <w:jc w:val="center"/>
              <w:rPr>
                <w:sz w:val="20"/>
              </w:rPr>
            </w:pPr>
          </w:p>
        </w:tc>
        <w:tc>
          <w:tcPr>
            <w:tcW w:w="1168" w:type="pct"/>
          </w:tcPr>
          <w:p w14:paraId="282F38E6" w14:textId="77777777" w:rsidR="00CE354E" w:rsidRPr="004B0F35" w:rsidRDefault="00CE354E" w:rsidP="00FA1F0D">
            <w:pPr>
              <w:spacing w:before="0" w:after="0" w:line="240" w:lineRule="auto"/>
              <w:jc w:val="center"/>
              <w:rPr>
                <w:b/>
                <w:sz w:val="20"/>
              </w:rPr>
            </w:pPr>
            <w:r w:rsidRPr="004B0F35">
              <w:rPr>
                <w:sz w:val="20"/>
              </w:rPr>
              <w:t>12.6</w:t>
            </w:r>
          </w:p>
        </w:tc>
      </w:tr>
      <w:tr w:rsidR="00CE354E" w:rsidRPr="004B0F35" w14:paraId="5EAD3A32" w14:textId="77777777" w:rsidTr="0018793D">
        <w:tc>
          <w:tcPr>
            <w:tcW w:w="1216" w:type="pct"/>
            <w:vAlign w:val="bottom"/>
          </w:tcPr>
          <w:p w14:paraId="2F0E83C9" w14:textId="77777777" w:rsidR="00CE354E" w:rsidRPr="004B0F35" w:rsidRDefault="00CE354E" w:rsidP="00FA1F0D">
            <w:pPr>
              <w:spacing w:before="0" w:after="0" w:line="240" w:lineRule="auto"/>
              <w:jc w:val="center"/>
              <w:rPr>
                <w:sz w:val="20"/>
              </w:rPr>
            </w:pPr>
            <w:r w:rsidRPr="004B0F35">
              <w:rPr>
                <w:sz w:val="20"/>
              </w:rPr>
              <w:t>5</w:t>
            </w:r>
          </w:p>
        </w:tc>
        <w:tc>
          <w:tcPr>
            <w:tcW w:w="1305" w:type="pct"/>
          </w:tcPr>
          <w:p w14:paraId="5AE27209" w14:textId="77777777" w:rsidR="00CE354E" w:rsidRPr="004B0F35" w:rsidRDefault="00CE354E" w:rsidP="00FA1F0D">
            <w:pPr>
              <w:spacing w:before="0" w:after="0" w:line="240" w:lineRule="auto"/>
              <w:jc w:val="center"/>
              <w:rPr>
                <w:sz w:val="20"/>
              </w:rPr>
            </w:pPr>
            <w:r w:rsidRPr="004B0F35">
              <w:rPr>
                <w:sz w:val="20"/>
              </w:rPr>
              <w:t>475.6</w:t>
            </w:r>
          </w:p>
        </w:tc>
        <w:tc>
          <w:tcPr>
            <w:tcW w:w="1311" w:type="pct"/>
            <w:vAlign w:val="bottom"/>
          </w:tcPr>
          <w:p w14:paraId="3C3DB011" w14:textId="77777777" w:rsidR="00CE354E" w:rsidRPr="004B0F35" w:rsidRDefault="00CE354E" w:rsidP="00FA1F0D">
            <w:pPr>
              <w:spacing w:before="0" w:after="0" w:line="240" w:lineRule="auto"/>
              <w:jc w:val="center"/>
              <w:rPr>
                <w:sz w:val="20"/>
              </w:rPr>
            </w:pPr>
          </w:p>
        </w:tc>
        <w:tc>
          <w:tcPr>
            <w:tcW w:w="1168" w:type="pct"/>
          </w:tcPr>
          <w:p w14:paraId="25984C20" w14:textId="77777777" w:rsidR="00CE354E" w:rsidRPr="004B0F35" w:rsidRDefault="00CE354E" w:rsidP="00FA1F0D">
            <w:pPr>
              <w:spacing w:before="0" w:after="0" w:line="240" w:lineRule="auto"/>
              <w:jc w:val="center"/>
              <w:rPr>
                <w:b/>
                <w:sz w:val="20"/>
              </w:rPr>
            </w:pPr>
            <w:r w:rsidRPr="004B0F35">
              <w:rPr>
                <w:sz w:val="20"/>
              </w:rPr>
              <w:t>12.6</w:t>
            </w:r>
          </w:p>
        </w:tc>
      </w:tr>
      <w:tr w:rsidR="00CE354E" w:rsidRPr="004B0F35" w14:paraId="06FA7A1F" w14:textId="77777777" w:rsidTr="0018793D">
        <w:tc>
          <w:tcPr>
            <w:tcW w:w="1216" w:type="pct"/>
            <w:vAlign w:val="bottom"/>
          </w:tcPr>
          <w:p w14:paraId="369E7073" w14:textId="77777777" w:rsidR="00CE354E" w:rsidRPr="004B0F35" w:rsidRDefault="00CE354E" w:rsidP="00FA1F0D">
            <w:pPr>
              <w:spacing w:before="0" w:after="0" w:line="240" w:lineRule="auto"/>
              <w:jc w:val="center"/>
              <w:rPr>
                <w:sz w:val="20"/>
              </w:rPr>
            </w:pPr>
            <w:r w:rsidRPr="004B0F35">
              <w:rPr>
                <w:sz w:val="20"/>
              </w:rPr>
              <w:t>6</w:t>
            </w:r>
          </w:p>
        </w:tc>
        <w:tc>
          <w:tcPr>
            <w:tcW w:w="1305" w:type="pct"/>
          </w:tcPr>
          <w:p w14:paraId="774CAEE9" w14:textId="77777777" w:rsidR="00CE354E" w:rsidRPr="004B0F35" w:rsidRDefault="00CE354E" w:rsidP="00FA1F0D">
            <w:pPr>
              <w:spacing w:before="0" w:after="0" w:line="240" w:lineRule="auto"/>
              <w:jc w:val="center"/>
              <w:rPr>
                <w:sz w:val="20"/>
              </w:rPr>
            </w:pPr>
            <w:r w:rsidRPr="004B0F35">
              <w:rPr>
                <w:sz w:val="20"/>
              </w:rPr>
              <w:t>173</w:t>
            </w:r>
          </w:p>
        </w:tc>
        <w:tc>
          <w:tcPr>
            <w:tcW w:w="1311" w:type="pct"/>
            <w:vAlign w:val="bottom"/>
          </w:tcPr>
          <w:p w14:paraId="53DF1741" w14:textId="77777777" w:rsidR="00CE354E" w:rsidRPr="004B0F35" w:rsidRDefault="00CE354E" w:rsidP="00FA1F0D">
            <w:pPr>
              <w:spacing w:before="0" w:after="0" w:line="240" w:lineRule="auto"/>
              <w:jc w:val="center"/>
              <w:rPr>
                <w:sz w:val="20"/>
              </w:rPr>
            </w:pPr>
            <w:r w:rsidRPr="004B0F35">
              <w:rPr>
                <w:sz w:val="20"/>
              </w:rPr>
              <w:t>12.7</w:t>
            </w:r>
          </w:p>
        </w:tc>
        <w:tc>
          <w:tcPr>
            <w:tcW w:w="1168" w:type="pct"/>
          </w:tcPr>
          <w:p w14:paraId="308C0722" w14:textId="77777777" w:rsidR="00CE354E" w:rsidRPr="004B0F35" w:rsidRDefault="00CE354E" w:rsidP="00FA1F0D">
            <w:pPr>
              <w:spacing w:before="0" w:after="0" w:line="240" w:lineRule="auto"/>
              <w:jc w:val="center"/>
              <w:rPr>
                <w:b/>
                <w:sz w:val="20"/>
              </w:rPr>
            </w:pPr>
          </w:p>
        </w:tc>
      </w:tr>
      <w:tr w:rsidR="00CE354E" w:rsidRPr="004B0F35" w14:paraId="37220013" w14:textId="77777777" w:rsidTr="0018793D">
        <w:tc>
          <w:tcPr>
            <w:tcW w:w="1216" w:type="pct"/>
            <w:vAlign w:val="bottom"/>
          </w:tcPr>
          <w:p w14:paraId="522BB7C6" w14:textId="77777777" w:rsidR="00CE354E" w:rsidRPr="004B0F35" w:rsidRDefault="00CE354E" w:rsidP="00FA1F0D">
            <w:pPr>
              <w:spacing w:before="0" w:after="0" w:line="240" w:lineRule="auto"/>
              <w:jc w:val="center"/>
              <w:rPr>
                <w:sz w:val="20"/>
              </w:rPr>
            </w:pPr>
            <w:r w:rsidRPr="004B0F35">
              <w:rPr>
                <w:sz w:val="20"/>
              </w:rPr>
              <w:t>7</w:t>
            </w:r>
          </w:p>
        </w:tc>
        <w:tc>
          <w:tcPr>
            <w:tcW w:w="1305" w:type="pct"/>
          </w:tcPr>
          <w:p w14:paraId="72360FD4" w14:textId="77777777" w:rsidR="00CE354E" w:rsidRPr="004B0F35" w:rsidRDefault="00CE354E" w:rsidP="00FA1F0D">
            <w:pPr>
              <w:spacing w:before="0" w:after="0" w:line="240" w:lineRule="auto"/>
              <w:jc w:val="center"/>
              <w:rPr>
                <w:sz w:val="20"/>
              </w:rPr>
            </w:pPr>
            <w:r w:rsidRPr="004B0F35">
              <w:rPr>
                <w:sz w:val="20"/>
              </w:rPr>
              <w:t>18.9</w:t>
            </w:r>
          </w:p>
        </w:tc>
        <w:tc>
          <w:tcPr>
            <w:tcW w:w="1311" w:type="pct"/>
            <w:vAlign w:val="bottom"/>
          </w:tcPr>
          <w:p w14:paraId="1F0A1D3F" w14:textId="77777777" w:rsidR="00CE354E" w:rsidRPr="004B0F35" w:rsidRDefault="00CE354E" w:rsidP="00FA1F0D">
            <w:pPr>
              <w:spacing w:before="0" w:after="0" w:line="240" w:lineRule="auto"/>
              <w:jc w:val="center"/>
              <w:rPr>
                <w:sz w:val="20"/>
              </w:rPr>
            </w:pPr>
          </w:p>
        </w:tc>
        <w:tc>
          <w:tcPr>
            <w:tcW w:w="1168" w:type="pct"/>
          </w:tcPr>
          <w:p w14:paraId="6210BCA5" w14:textId="77777777" w:rsidR="00CE354E" w:rsidRPr="004B0F35" w:rsidRDefault="00CE354E" w:rsidP="00FA1F0D">
            <w:pPr>
              <w:spacing w:before="0" w:after="0" w:line="240" w:lineRule="auto"/>
              <w:jc w:val="center"/>
              <w:rPr>
                <w:b/>
                <w:sz w:val="20"/>
              </w:rPr>
            </w:pPr>
            <w:r w:rsidRPr="004B0F35">
              <w:rPr>
                <w:sz w:val="20"/>
              </w:rPr>
              <w:t>13.8</w:t>
            </w:r>
          </w:p>
        </w:tc>
      </w:tr>
      <w:tr w:rsidR="00CE354E" w:rsidRPr="004B0F35" w14:paraId="0E29A5D7" w14:textId="77777777" w:rsidTr="0018793D">
        <w:tc>
          <w:tcPr>
            <w:tcW w:w="1216" w:type="pct"/>
            <w:vAlign w:val="bottom"/>
          </w:tcPr>
          <w:p w14:paraId="2E69B597" w14:textId="77777777" w:rsidR="00CE354E" w:rsidRPr="004B0F35" w:rsidRDefault="00CE354E" w:rsidP="00FA1F0D">
            <w:pPr>
              <w:spacing w:before="0" w:after="0" w:line="240" w:lineRule="auto"/>
              <w:jc w:val="center"/>
              <w:rPr>
                <w:sz w:val="20"/>
              </w:rPr>
            </w:pPr>
            <w:r w:rsidRPr="004B0F35">
              <w:rPr>
                <w:sz w:val="20"/>
              </w:rPr>
              <w:t>8</w:t>
            </w:r>
          </w:p>
        </w:tc>
        <w:tc>
          <w:tcPr>
            <w:tcW w:w="1305" w:type="pct"/>
          </w:tcPr>
          <w:p w14:paraId="28682FC8" w14:textId="77777777" w:rsidR="00CE354E" w:rsidRPr="004B0F35" w:rsidRDefault="00CE354E" w:rsidP="00FA1F0D">
            <w:pPr>
              <w:spacing w:before="0" w:after="0" w:line="240" w:lineRule="auto"/>
              <w:jc w:val="center"/>
              <w:rPr>
                <w:sz w:val="20"/>
              </w:rPr>
            </w:pPr>
            <w:r w:rsidRPr="004B0F35">
              <w:rPr>
                <w:sz w:val="20"/>
              </w:rPr>
              <w:t>96.5</w:t>
            </w:r>
          </w:p>
        </w:tc>
        <w:tc>
          <w:tcPr>
            <w:tcW w:w="1311" w:type="pct"/>
            <w:vAlign w:val="bottom"/>
          </w:tcPr>
          <w:p w14:paraId="3FFDE1E6" w14:textId="77777777" w:rsidR="00CE354E" w:rsidRPr="004B0F35" w:rsidRDefault="00CE354E" w:rsidP="00FA1F0D">
            <w:pPr>
              <w:spacing w:before="0" w:after="0" w:line="240" w:lineRule="auto"/>
              <w:jc w:val="center"/>
              <w:rPr>
                <w:sz w:val="20"/>
              </w:rPr>
            </w:pPr>
          </w:p>
        </w:tc>
        <w:tc>
          <w:tcPr>
            <w:tcW w:w="1168" w:type="pct"/>
          </w:tcPr>
          <w:p w14:paraId="09D01105" w14:textId="77777777" w:rsidR="00CE354E" w:rsidRPr="004B0F35" w:rsidRDefault="00CE354E" w:rsidP="00FA1F0D">
            <w:pPr>
              <w:spacing w:before="0" w:after="0" w:line="240" w:lineRule="auto"/>
              <w:jc w:val="center"/>
              <w:rPr>
                <w:b/>
                <w:sz w:val="20"/>
              </w:rPr>
            </w:pPr>
            <w:r w:rsidRPr="004B0F35">
              <w:rPr>
                <w:sz w:val="20"/>
              </w:rPr>
              <w:t>13.6</w:t>
            </w:r>
          </w:p>
        </w:tc>
      </w:tr>
      <w:tr w:rsidR="00CE354E" w:rsidRPr="004B0F35" w14:paraId="656C2F67" w14:textId="77777777" w:rsidTr="0018793D">
        <w:tc>
          <w:tcPr>
            <w:tcW w:w="1216" w:type="pct"/>
            <w:vAlign w:val="bottom"/>
          </w:tcPr>
          <w:p w14:paraId="6ECBE558" w14:textId="77777777" w:rsidR="00CE354E" w:rsidRPr="004B0F35" w:rsidRDefault="00CE354E" w:rsidP="00FA1F0D">
            <w:pPr>
              <w:spacing w:before="0" w:after="0" w:line="240" w:lineRule="auto"/>
              <w:jc w:val="center"/>
              <w:rPr>
                <w:sz w:val="20"/>
              </w:rPr>
            </w:pPr>
            <w:r w:rsidRPr="004B0F35">
              <w:rPr>
                <w:sz w:val="20"/>
              </w:rPr>
              <w:t>9</w:t>
            </w:r>
          </w:p>
        </w:tc>
        <w:tc>
          <w:tcPr>
            <w:tcW w:w="1305" w:type="pct"/>
          </w:tcPr>
          <w:p w14:paraId="1F2A62AC" w14:textId="77777777" w:rsidR="00CE354E" w:rsidRPr="004B0F35" w:rsidRDefault="00CE354E" w:rsidP="00FA1F0D">
            <w:pPr>
              <w:spacing w:before="0" w:after="0" w:line="240" w:lineRule="auto"/>
              <w:jc w:val="center"/>
              <w:rPr>
                <w:sz w:val="20"/>
              </w:rPr>
            </w:pPr>
            <w:r w:rsidRPr="004B0F35">
              <w:rPr>
                <w:sz w:val="20"/>
              </w:rPr>
              <w:t>158.7</w:t>
            </w:r>
          </w:p>
        </w:tc>
        <w:tc>
          <w:tcPr>
            <w:tcW w:w="1311" w:type="pct"/>
            <w:vAlign w:val="bottom"/>
          </w:tcPr>
          <w:p w14:paraId="38182425" w14:textId="77777777" w:rsidR="00CE354E" w:rsidRPr="004B0F35" w:rsidRDefault="00CE354E" w:rsidP="00FA1F0D">
            <w:pPr>
              <w:spacing w:before="0" w:after="0" w:line="240" w:lineRule="auto"/>
              <w:jc w:val="center"/>
              <w:rPr>
                <w:sz w:val="20"/>
              </w:rPr>
            </w:pPr>
            <w:r w:rsidRPr="004B0F35">
              <w:rPr>
                <w:sz w:val="20"/>
              </w:rPr>
              <w:t>14.2</w:t>
            </w:r>
          </w:p>
        </w:tc>
        <w:tc>
          <w:tcPr>
            <w:tcW w:w="1168" w:type="pct"/>
          </w:tcPr>
          <w:p w14:paraId="112F7A1C" w14:textId="77777777" w:rsidR="00CE354E" w:rsidRPr="004B0F35" w:rsidRDefault="00CE354E" w:rsidP="00FA1F0D">
            <w:pPr>
              <w:spacing w:before="0" w:after="0" w:line="240" w:lineRule="auto"/>
              <w:jc w:val="center"/>
              <w:rPr>
                <w:b/>
                <w:sz w:val="20"/>
              </w:rPr>
            </w:pPr>
          </w:p>
        </w:tc>
      </w:tr>
      <w:tr w:rsidR="00CE354E" w:rsidRPr="004B0F35" w14:paraId="1BBF1A46" w14:textId="77777777" w:rsidTr="0018793D">
        <w:tc>
          <w:tcPr>
            <w:tcW w:w="1216" w:type="pct"/>
            <w:vAlign w:val="bottom"/>
          </w:tcPr>
          <w:p w14:paraId="02637B35" w14:textId="77777777" w:rsidR="00CE354E" w:rsidRPr="004B0F35" w:rsidRDefault="00CE354E" w:rsidP="00FA1F0D">
            <w:pPr>
              <w:spacing w:before="0" w:after="0" w:line="240" w:lineRule="auto"/>
              <w:jc w:val="center"/>
              <w:rPr>
                <w:sz w:val="20"/>
              </w:rPr>
            </w:pPr>
            <w:r w:rsidRPr="004B0F35">
              <w:rPr>
                <w:sz w:val="20"/>
              </w:rPr>
              <w:t>10</w:t>
            </w:r>
          </w:p>
        </w:tc>
        <w:tc>
          <w:tcPr>
            <w:tcW w:w="1305" w:type="pct"/>
          </w:tcPr>
          <w:p w14:paraId="3D7A4C3D" w14:textId="77777777" w:rsidR="00CE354E" w:rsidRPr="004B0F35" w:rsidRDefault="00CE354E" w:rsidP="00FA1F0D">
            <w:pPr>
              <w:spacing w:before="0" w:after="0" w:line="240" w:lineRule="auto"/>
              <w:jc w:val="center"/>
              <w:rPr>
                <w:sz w:val="20"/>
              </w:rPr>
            </w:pPr>
            <w:r w:rsidRPr="004B0F35">
              <w:rPr>
                <w:sz w:val="20"/>
              </w:rPr>
              <w:t>259.8</w:t>
            </w:r>
          </w:p>
        </w:tc>
        <w:tc>
          <w:tcPr>
            <w:tcW w:w="1311" w:type="pct"/>
            <w:vAlign w:val="bottom"/>
          </w:tcPr>
          <w:p w14:paraId="17CB8B8B" w14:textId="77777777" w:rsidR="00CE354E" w:rsidRPr="004B0F35" w:rsidRDefault="00CE354E" w:rsidP="00FA1F0D">
            <w:pPr>
              <w:spacing w:before="0" w:after="0" w:line="240" w:lineRule="auto"/>
              <w:jc w:val="center"/>
              <w:rPr>
                <w:sz w:val="20"/>
              </w:rPr>
            </w:pPr>
          </w:p>
        </w:tc>
        <w:tc>
          <w:tcPr>
            <w:tcW w:w="1168" w:type="pct"/>
          </w:tcPr>
          <w:p w14:paraId="76B513A2" w14:textId="77777777" w:rsidR="00CE354E" w:rsidRPr="004B0F35" w:rsidRDefault="00CE354E" w:rsidP="00FA1F0D">
            <w:pPr>
              <w:spacing w:before="0" w:after="0" w:line="240" w:lineRule="auto"/>
              <w:jc w:val="center"/>
              <w:rPr>
                <w:b/>
                <w:sz w:val="20"/>
              </w:rPr>
            </w:pPr>
            <w:r w:rsidRPr="004B0F35">
              <w:rPr>
                <w:sz w:val="20"/>
              </w:rPr>
              <w:t>13.2</w:t>
            </w:r>
          </w:p>
        </w:tc>
      </w:tr>
      <w:tr w:rsidR="00CE354E" w:rsidRPr="004B0F35" w14:paraId="2BDBB809" w14:textId="77777777" w:rsidTr="0018793D">
        <w:tc>
          <w:tcPr>
            <w:tcW w:w="1216" w:type="pct"/>
            <w:vAlign w:val="bottom"/>
          </w:tcPr>
          <w:p w14:paraId="0D5FC2FA" w14:textId="77777777" w:rsidR="00CE354E" w:rsidRPr="004B0F35" w:rsidRDefault="00CE354E" w:rsidP="00FA1F0D">
            <w:pPr>
              <w:spacing w:before="0" w:after="0" w:line="240" w:lineRule="auto"/>
              <w:jc w:val="center"/>
              <w:rPr>
                <w:sz w:val="20"/>
              </w:rPr>
            </w:pPr>
            <w:r w:rsidRPr="004B0F35">
              <w:rPr>
                <w:sz w:val="20"/>
              </w:rPr>
              <w:t>11</w:t>
            </w:r>
          </w:p>
        </w:tc>
        <w:tc>
          <w:tcPr>
            <w:tcW w:w="1305" w:type="pct"/>
          </w:tcPr>
          <w:p w14:paraId="2DC7B89A" w14:textId="77777777" w:rsidR="00CE354E" w:rsidRPr="004B0F35" w:rsidRDefault="00CE354E" w:rsidP="00FA1F0D">
            <w:pPr>
              <w:spacing w:before="0" w:after="0" w:line="240" w:lineRule="auto"/>
              <w:jc w:val="center"/>
              <w:rPr>
                <w:sz w:val="20"/>
              </w:rPr>
            </w:pPr>
            <w:r w:rsidRPr="004B0F35">
              <w:rPr>
                <w:sz w:val="20"/>
              </w:rPr>
              <w:t>615</w:t>
            </w:r>
          </w:p>
        </w:tc>
        <w:tc>
          <w:tcPr>
            <w:tcW w:w="1311" w:type="pct"/>
            <w:vAlign w:val="bottom"/>
          </w:tcPr>
          <w:p w14:paraId="6201C63B" w14:textId="77777777" w:rsidR="00CE354E" w:rsidRPr="004B0F35" w:rsidRDefault="00CE354E" w:rsidP="00FA1F0D">
            <w:pPr>
              <w:spacing w:before="0" w:after="0" w:line="240" w:lineRule="auto"/>
              <w:jc w:val="center"/>
              <w:rPr>
                <w:sz w:val="20"/>
              </w:rPr>
            </w:pPr>
          </w:p>
        </w:tc>
        <w:tc>
          <w:tcPr>
            <w:tcW w:w="1168" w:type="pct"/>
          </w:tcPr>
          <w:p w14:paraId="791EC0EA" w14:textId="77777777" w:rsidR="00CE354E" w:rsidRPr="004B0F35" w:rsidRDefault="00CE354E" w:rsidP="00FA1F0D">
            <w:pPr>
              <w:spacing w:before="0" w:after="0" w:line="240" w:lineRule="auto"/>
              <w:jc w:val="center"/>
              <w:rPr>
                <w:b/>
                <w:sz w:val="20"/>
              </w:rPr>
            </w:pPr>
            <w:r w:rsidRPr="004B0F35">
              <w:rPr>
                <w:sz w:val="20"/>
              </w:rPr>
              <w:t>12.2</w:t>
            </w:r>
          </w:p>
        </w:tc>
      </w:tr>
      <w:tr w:rsidR="00CE354E" w:rsidRPr="004B0F35" w14:paraId="4EA032BF" w14:textId="77777777" w:rsidTr="0018793D">
        <w:tc>
          <w:tcPr>
            <w:tcW w:w="1216" w:type="pct"/>
            <w:vAlign w:val="bottom"/>
          </w:tcPr>
          <w:p w14:paraId="273001D2" w14:textId="77777777" w:rsidR="00CE354E" w:rsidRPr="004B0F35" w:rsidRDefault="00CE354E" w:rsidP="00FA1F0D">
            <w:pPr>
              <w:spacing w:before="0" w:after="0" w:line="240" w:lineRule="auto"/>
              <w:jc w:val="center"/>
              <w:rPr>
                <w:sz w:val="20"/>
              </w:rPr>
            </w:pPr>
            <w:r w:rsidRPr="004B0F35">
              <w:rPr>
                <w:sz w:val="20"/>
              </w:rPr>
              <w:t>12</w:t>
            </w:r>
          </w:p>
        </w:tc>
        <w:tc>
          <w:tcPr>
            <w:tcW w:w="1305" w:type="pct"/>
          </w:tcPr>
          <w:p w14:paraId="77C292E1" w14:textId="77777777" w:rsidR="00CE354E" w:rsidRPr="004B0F35" w:rsidRDefault="00CE354E" w:rsidP="00FA1F0D">
            <w:pPr>
              <w:spacing w:before="0" w:after="0" w:line="240" w:lineRule="auto"/>
              <w:jc w:val="center"/>
              <w:rPr>
                <w:sz w:val="20"/>
              </w:rPr>
            </w:pPr>
            <w:r w:rsidRPr="004B0F35">
              <w:rPr>
                <w:sz w:val="20"/>
              </w:rPr>
              <w:t>503.5</w:t>
            </w:r>
          </w:p>
        </w:tc>
        <w:tc>
          <w:tcPr>
            <w:tcW w:w="1311" w:type="pct"/>
            <w:vAlign w:val="bottom"/>
          </w:tcPr>
          <w:p w14:paraId="7E89A76A" w14:textId="77777777" w:rsidR="00CE354E" w:rsidRPr="004B0F35" w:rsidRDefault="00CE354E" w:rsidP="00FA1F0D">
            <w:pPr>
              <w:spacing w:before="0" w:after="0" w:line="240" w:lineRule="auto"/>
              <w:jc w:val="center"/>
              <w:rPr>
                <w:sz w:val="20"/>
              </w:rPr>
            </w:pPr>
          </w:p>
        </w:tc>
        <w:tc>
          <w:tcPr>
            <w:tcW w:w="1168" w:type="pct"/>
          </w:tcPr>
          <w:p w14:paraId="01E87A15" w14:textId="77777777" w:rsidR="00CE354E" w:rsidRPr="004B0F35" w:rsidRDefault="00CE354E" w:rsidP="00FA1F0D">
            <w:pPr>
              <w:spacing w:before="0" w:after="0" w:line="240" w:lineRule="auto"/>
              <w:jc w:val="center"/>
              <w:rPr>
                <w:b/>
                <w:sz w:val="20"/>
              </w:rPr>
            </w:pPr>
            <w:r w:rsidRPr="004B0F35">
              <w:rPr>
                <w:sz w:val="20"/>
              </w:rPr>
              <w:t>12.5</w:t>
            </w:r>
          </w:p>
        </w:tc>
      </w:tr>
      <w:tr w:rsidR="00CE354E" w:rsidRPr="004B0F35" w14:paraId="18783B5D" w14:textId="77777777" w:rsidTr="0018793D">
        <w:tc>
          <w:tcPr>
            <w:tcW w:w="1216" w:type="pct"/>
            <w:vAlign w:val="bottom"/>
          </w:tcPr>
          <w:p w14:paraId="72C7AF4A" w14:textId="77777777" w:rsidR="00CE354E" w:rsidRPr="004B0F35" w:rsidRDefault="00CE354E" w:rsidP="00FA1F0D">
            <w:pPr>
              <w:spacing w:before="0" w:after="0" w:line="240" w:lineRule="auto"/>
              <w:jc w:val="center"/>
              <w:rPr>
                <w:sz w:val="20"/>
              </w:rPr>
            </w:pPr>
            <w:r w:rsidRPr="004B0F35">
              <w:rPr>
                <w:sz w:val="20"/>
              </w:rPr>
              <w:t>13</w:t>
            </w:r>
          </w:p>
        </w:tc>
        <w:tc>
          <w:tcPr>
            <w:tcW w:w="1305" w:type="pct"/>
          </w:tcPr>
          <w:p w14:paraId="719C9BEC" w14:textId="77777777" w:rsidR="00CE354E" w:rsidRPr="004B0F35" w:rsidRDefault="00CE354E" w:rsidP="00FA1F0D">
            <w:pPr>
              <w:spacing w:before="0" w:after="0" w:line="240" w:lineRule="auto"/>
              <w:jc w:val="center"/>
              <w:rPr>
                <w:sz w:val="20"/>
              </w:rPr>
            </w:pPr>
            <w:r w:rsidRPr="004B0F35">
              <w:rPr>
                <w:sz w:val="20"/>
              </w:rPr>
              <w:t>496.1</w:t>
            </w:r>
          </w:p>
        </w:tc>
        <w:tc>
          <w:tcPr>
            <w:tcW w:w="1311" w:type="pct"/>
            <w:vAlign w:val="bottom"/>
          </w:tcPr>
          <w:p w14:paraId="20169842" w14:textId="77777777" w:rsidR="00CE354E" w:rsidRPr="004B0F35" w:rsidRDefault="00CE354E" w:rsidP="00FA1F0D">
            <w:pPr>
              <w:spacing w:before="0" w:after="0" w:line="240" w:lineRule="auto"/>
              <w:jc w:val="center"/>
              <w:rPr>
                <w:sz w:val="20"/>
              </w:rPr>
            </w:pPr>
          </w:p>
        </w:tc>
        <w:tc>
          <w:tcPr>
            <w:tcW w:w="1168" w:type="pct"/>
          </w:tcPr>
          <w:p w14:paraId="1DDBE8A1" w14:textId="77777777" w:rsidR="00CE354E" w:rsidRPr="004B0F35" w:rsidRDefault="00CE354E" w:rsidP="00FA1F0D">
            <w:pPr>
              <w:spacing w:before="0" w:after="0" w:line="240" w:lineRule="auto"/>
              <w:jc w:val="center"/>
              <w:rPr>
                <w:b/>
                <w:sz w:val="20"/>
              </w:rPr>
            </w:pPr>
            <w:r w:rsidRPr="004B0F35">
              <w:rPr>
                <w:sz w:val="20"/>
              </w:rPr>
              <w:t>12.5</w:t>
            </w:r>
          </w:p>
        </w:tc>
      </w:tr>
      <w:tr w:rsidR="00CE354E" w:rsidRPr="004B0F35" w14:paraId="7158BE78" w14:textId="77777777" w:rsidTr="0018793D">
        <w:tc>
          <w:tcPr>
            <w:tcW w:w="1216" w:type="pct"/>
            <w:vAlign w:val="bottom"/>
          </w:tcPr>
          <w:p w14:paraId="578A0E37" w14:textId="77777777" w:rsidR="00CE354E" w:rsidRPr="004B0F35" w:rsidRDefault="00CE354E" w:rsidP="00FA1F0D">
            <w:pPr>
              <w:spacing w:before="0" w:after="0" w:line="240" w:lineRule="auto"/>
              <w:jc w:val="center"/>
              <w:rPr>
                <w:sz w:val="20"/>
              </w:rPr>
            </w:pPr>
            <w:r w:rsidRPr="004B0F35">
              <w:rPr>
                <w:sz w:val="20"/>
              </w:rPr>
              <w:t>14</w:t>
            </w:r>
          </w:p>
        </w:tc>
        <w:tc>
          <w:tcPr>
            <w:tcW w:w="1305" w:type="pct"/>
          </w:tcPr>
          <w:p w14:paraId="66502CFE" w14:textId="77777777" w:rsidR="00CE354E" w:rsidRPr="004B0F35" w:rsidRDefault="00CE354E" w:rsidP="00FA1F0D">
            <w:pPr>
              <w:spacing w:before="0" w:after="0" w:line="240" w:lineRule="auto"/>
              <w:jc w:val="center"/>
              <w:rPr>
                <w:sz w:val="20"/>
              </w:rPr>
            </w:pPr>
            <w:r w:rsidRPr="004B0F35">
              <w:rPr>
                <w:sz w:val="20"/>
              </w:rPr>
              <w:t>889.1</w:t>
            </w:r>
          </w:p>
        </w:tc>
        <w:tc>
          <w:tcPr>
            <w:tcW w:w="1311" w:type="pct"/>
            <w:vAlign w:val="bottom"/>
          </w:tcPr>
          <w:p w14:paraId="2CDB0463" w14:textId="77777777" w:rsidR="00CE354E" w:rsidRPr="004B0F35" w:rsidRDefault="00CE354E" w:rsidP="00FA1F0D">
            <w:pPr>
              <w:spacing w:before="0" w:after="0" w:line="240" w:lineRule="auto"/>
              <w:jc w:val="center"/>
              <w:rPr>
                <w:sz w:val="20"/>
              </w:rPr>
            </w:pPr>
          </w:p>
        </w:tc>
        <w:tc>
          <w:tcPr>
            <w:tcW w:w="1168" w:type="pct"/>
          </w:tcPr>
          <w:p w14:paraId="694403F5" w14:textId="77777777" w:rsidR="00CE354E" w:rsidRPr="004B0F35" w:rsidRDefault="00CE354E" w:rsidP="00FA1F0D">
            <w:pPr>
              <w:spacing w:before="0" w:after="0" w:line="240" w:lineRule="auto"/>
              <w:jc w:val="center"/>
              <w:rPr>
                <w:b/>
                <w:sz w:val="20"/>
              </w:rPr>
            </w:pPr>
            <w:r w:rsidRPr="004B0F35">
              <w:rPr>
                <w:sz w:val="20"/>
              </w:rPr>
              <w:t>11.4</w:t>
            </w:r>
          </w:p>
        </w:tc>
      </w:tr>
      <w:tr w:rsidR="00CE354E" w:rsidRPr="004B0F35" w14:paraId="2B6B4F9C" w14:textId="77777777" w:rsidTr="0018793D">
        <w:tc>
          <w:tcPr>
            <w:tcW w:w="1216" w:type="pct"/>
            <w:vAlign w:val="bottom"/>
          </w:tcPr>
          <w:p w14:paraId="748FF415" w14:textId="77777777" w:rsidR="00CE354E" w:rsidRPr="004B0F35" w:rsidRDefault="00CE354E" w:rsidP="00FA1F0D">
            <w:pPr>
              <w:spacing w:before="0" w:after="0" w:line="240" w:lineRule="auto"/>
              <w:jc w:val="center"/>
              <w:rPr>
                <w:sz w:val="20"/>
              </w:rPr>
            </w:pPr>
            <w:r w:rsidRPr="004B0F35">
              <w:rPr>
                <w:sz w:val="20"/>
              </w:rPr>
              <w:t>15</w:t>
            </w:r>
          </w:p>
        </w:tc>
        <w:tc>
          <w:tcPr>
            <w:tcW w:w="1305" w:type="pct"/>
          </w:tcPr>
          <w:p w14:paraId="5193B872" w14:textId="77777777" w:rsidR="00CE354E" w:rsidRPr="004B0F35" w:rsidRDefault="00CE354E" w:rsidP="00FA1F0D">
            <w:pPr>
              <w:spacing w:before="0" w:after="0" w:line="240" w:lineRule="auto"/>
              <w:jc w:val="center"/>
              <w:rPr>
                <w:sz w:val="20"/>
              </w:rPr>
            </w:pPr>
            <w:r w:rsidRPr="004B0F35">
              <w:rPr>
                <w:sz w:val="20"/>
              </w:rPr>
              <w:t>77.2</w:t>
            </w:r>
          </w:p>
        </w:tc>
        <w:tc>
          <w:tcPr>
            <w:tcW w:w="1311" w:type="pct"/>
            <w:vAlign w:val="bottom"/>
          </w:tcPr>
          <w:p w14:paraId="2B17E022" w14:textId="77777777" w:rsidR="00CE354E" w:rsidRPr="004B0F35" w:rsidRDefault="00CE354E" w:rsidP="00FA1F0D">
            <w:pPr>
              <w:spacing w:before="0" w:after="0" w:line="240" w:lineRule="auto"/>
              <w:jc w:val="center"/>
              <w:rPr>
                <w:sz w:val="20"/>
              </w:rPr>
            </w:pPr>
          </w:p>
        </w:tc>
        <w:tc>
          <w:tcPr>
            <w:tcW w:w="1168" w:type="pct"/>
          </w:tcPr>
          <w:p w14:paraId="4DFE2F59" w14:textId="77777777" w:rsidR="00CE354E" w:rsidRPr="004B0F35" w:rsidRDefault="00CE354E" w:rsidP="00FA1F0D">
            <w:pPr>
              <w:spacing w:before="0" w:after="0" w:line="240" w:lineRule="auto"/>
              <w:jc w:val="center"/>
              <w:rPr>
                <w:b/>
                <w:sz w:val="20"/>
              </w:rPr>
            </w:pPr>
            <w:r w:rsidRPr="004B0F35">
              <w:rPr>
                <w:sz w:val="20"/>
              </w:rPr>
              <w:t>13.7</w:t>
            </w:r>
          </w:p>
        </w:tc>
      </w:tr>
      <w:tr w:rsidR="00CE354E" w:rsidRPr="004B0F35" w14:paraId="1B34D736" w14:textId="77777777" w:rsidTr="0018793D">
        <w:tc>
          <w:tcPr>
            <w:tcW w:w="1216" w:type="pct"/>
            <w:vAlign w:val="bottom"/>
          </w:tcPr>
          <w:p w14:paraId="4ED9EB30" w14:textId="77777777" w:rsidR="00CE354E" w:rsidRPr="004B0F35" w:rsidRDefault="00CE354E" w:rsidP="00FA1F0D">
            <w:pPr>
              <w:spacing w:before="0" w:after="0" w:line="240" w:lineRule="auto"/>
              <w:jc w:val="center"/>
              <w:rPr>
                <w:sz w:val="20"/>
              </w:rPr>
            </w:pPr>
            <w:r w:rsidRPr="004B0F35">
              <w:rPr>
                <w:sz w:val="20"/>
              </w:rPr>
              <w:t>16</w:t>
            </w:r>
          </w:p>
        </w:tc>
        <w:tc>
          <w:tcPr>
            <w:tcW w:w="1305" w:type="pct"/>
          </w:tcPr>
          <w:p w14:paraId="19207046" w14:textId="77777777" w:rsidR="00CE354E" w:rsidRPr="004B0F35" w:rsidRDefault="00CE354E" w:rsidP="00FA1F0D">
            <w:pPr>
              <w:spacing w:before="0" w:after="0" w:line="240" w:lineRule="auto"/>
              <w:jc w:val="center"/>
              <w:rPr>
                <w:sz w:val="20"/>
              </w:rPr>
            </w:pPr>
            <w:r w:rsidRPr="004B0F35">
              <w:rPr>
                <w:sz w:val="20"/>
              </w:rPr>
              <w:t>2148</w:t>
            </w:r>
          </w:p>
        </w:tc>
        <w:tc>
          <w:tcPr>
            <w:tcW w:w="1311" w:type="pct"/>
            <w:vAlign w:val="bottom"/>
          </w:tcPr>
          <w:p w14:paraId="0C7FED1F" w14:textId="77777777" w:rsidR="00CE354E" w:rsidRPr="004B0F35" w:rsidRDefault="00CE354E" w:rsidP="00FA1F0D">
            <w:pPr>
              <w:spacing w:before="0" w:after="0" w:line="240" w:lineRule="auto"/>
              <w:jc w:val="center"/>
              <w:rPr>
                <w:sz w:val="20"/>
              </w:rPr>
            </w:pPr>
            <w:r w:rsidRPr="004B0F35">
              <w:rPr>
                <w:sz w:val="20"/>
              </w:rPr>
              <w:t>8.0</w:t>
            </w:r>
          </w:p>
        </w:tc>
        <w:tc>
          <w:tcPr>
            <w:tcW w:w="1168" w:type="pct"/>
          </w:tcPr>
          <w:p w14:paraId="22B880E0" w14:textId="77777777" w:rsidR="00CE354E" w:rsidRPr="004B0F35" w:rsidRDefault="00CE354E" w:rsidP="00FA1F0D">
            <w:pPr>
              <w:spacing w:before="0" w:after="0" w:line="240" w:lineRule="auto"/>
              <w:jc w:val="center"/>
              <w:rPr>
                <w:b/>
                <w:sz w:val="20"/>
              </w:rPr>
            </w:pPr>
            <w:r w:rsidRPr="004B0F35">
              <w:rPr>
                <w:sz w:val="20"/>
              </w:rPr>
              <w:t>11.7</w:t>
            </w:r>
          </w:p>
        </w:tc>
      </w:tr>
    </w:tbl>
    <w:p w14:paraId="48B7CD12" w14:textId="77777777" w:rsidR="00D07D83" w:rsidRDefault="00D07D83" w:rsidP="00177EB6"/>
    <w:p w14:paraId="4DDCD51F" w14:textId="4F2BBAD7" w:rsidR="007D230B" w:rsidRPr="004B06E3" w:rsidRDefault="00245AFF" w:rsidP="00462BB6">
      <w:pPr>
        <w:pStyle w:val="eTRMHeading3"/>
      </w:pPr>
      <w:bookmarkStart w:id="63" w:name="_Toc11253780"/>
      <w:bookmarkStart w:id="64" w:name="_Toc486490859"/>
      <w:bookmarkStart w:id="65" w:name="_Toc486580930"/>
      <w:r w:rsidRPr="004B06E3">
        <w:t>Life Cycle</w:t>
      </w:r>
      <w:bookmarkEnd w:id="63"/>
      <w:r w:rsidR="007D230B" w:rsidRPr="004B06E3">
        <w:t xml:space="preserve"> </w:t>
      </w:r>
      <w:bookmarkEnd w:id="64"/>
      <w:bookmarkEnd w:id="65"/>
    </w:p>
    <w:p w14:paraId="3DBE4663" w14:textId="77777777" w:rsidR="0018793D" w:rsidRDefault="0018793D" w:rsidP="0018793D">
      <w:r w:rsidRPr="00D11D33">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7855534B" w14:textId="545D5489" w:rsidR="0018793D" w:rsidRDefault="00774758" w:rsidP="00FA1F0D">
      <w:r w:rsidRPr="00961018">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14"/>
      </w:r>
      <w:r w:rsidRPr="00961018">
        <w:t xml:space="preserve"> This approach provides a reasonable RUL estimate without the requiring any a priori knowledge about the age of the equipment being replaced.</w:t>
      </w:r>
      <w:r w:rsidRPr="00961018">
        <w:rPr>
          <w:vertAlign w:val="superscript"/>
        </w:rPr>
        <w:footnoteReference w:id="15"/>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6"/>
      </w:r>
    </w:p>
    <w:p w14:paraId="6B3D8A73" w14:textId="029A4E58" w:rsidR="00FA1F0D" w:rsidRPr="00FA1F0D" w:rsidRDefault="00A61AFB" w:rsidP="00FA1F0D">
      <w:r w:rsidRPr="00FD217E">
        <w:t xml:space="preserve">The </w:t>
      </w:r>
      <w:r w:rsidR="00774758">
        <w:t xml:space="preserve">EUL and RUL for </w:t>
      </w:r>
      <w:r w:rsidR="00394F3B">
        <w:t>hot water boiler controls</w:t>
      </w:r>
      <w:r w:rsidR="00774758">
        <w:t xml:space="preserve"> is specified below.</w:t>
      </w:r>
      <w:r w:rsidRPr="00FD217E">
        <w:t xml:space="preserve"> The RUL value is only applicable to the first baseline period for a </w:t>
      </w:r>
      <w:r w:rsidR="00774758">
        <w:t>retrofit</w:t>
      </w:r>
      <w:r w:rsidRPr="00FD217E">
        <w:t xml:space="preserve"> measure with an applicable code baseline. </w:t>
      </w:r>
    </w:p>
    <w:p w14:paraId="7D542FEF" w14:textId="57500684" w:rsidR="00FD2C54" w:rsidRPr="004B0F35" w:rsidRDefault="00FD2C54" w:rsidP="00B809CE">
      <w:pPr>
        <w:pStyle w:val="Caption"/>
      </w:pPr>
      <w:r w:rsidRPr="004B0F35">
        <w:lastRenderedPageBreak/>
        <w:t>Effective Useful Life</w:t>
      </w:r>
      <w:r w:rsidR="00BB4F22" w:rsidRPr="004B0F35">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D51EDF" w:rsidRPr="004B0F35" w14:paraId="1FE81044" w14:textId="0C091959" w:rsidTr="00D51EDF">
        <w:trPr>
          <w:cantSplit/>
          <w:trHeight w:val="20"/>
        </w:trPr>
        <w:tc>
          <w:tcPr>
            <w:tcW w:w="2877" w:type="dxa"/>
            <w:shd w:val="clear" w:color="auto" w:fill="F2F2F2" w:themeFill="background1" w:themeFillShade="F2"/>
            <w:vAlign w:val="bottom"/>
          </w:tcPr>
          <w:p w14:paraId="1666F440" w14:textId="31AB2C31"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Parameter</w:t>
            </w:r>
          </w:p>
        </w:tc>
        <w:tc>
          <w:tcPr>
            <w:tcW w:w="1438" w:type="dxa"/>
            <w:shd w:val="clear" w:color="auto" w:fill="F2F2F2" w:themeFill="background1" w:themeFillShade="F2"/>
          </w:tcPr>
          <w:p w14:paraId="18E57BF8" w14:textId="7074E315"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Value</w:t>
            </w:r>
          </w:p>
        </w:tc>
        <w:tc>
          <w:tcPr>
            <w:tcW w:w="5220" w:type="dxa"/>
            <w:shd w:val="clear" w:color="auto" w:fill="F2F2F2" w:themeFill="background1" w:themeFillShade="F2"/>
          </w:tcPr>
          <w:p w14:paraId="541E1750" w14:textId="139E5C00" w:rsidR="00D51EDF" w:rsidRPr="004B0F35" w:rsidRDefault="00D51EDF" w:rsidP="009C31A4">
            <w:pPr>
              <w:keepNext/>
              <w:keepLines/>
              <w:spacing w:before="20" w:after="20"/>
              <w:jc w:val="center"/>
              <w:rPr>
                <w:rFonts w:cstheme="minorHAnsi"/>
                <w:b/>
                <w:sz w:val="20"/>
                <w:szCs w:val="20"/>
              </w:rPr>
            </w:pPr>
            <w:r w:rsidRPr="004B0F35">
              <w:rPr>
                <w:rFonts w:cstheme="minorHAnsi"/>
                <w:b/>
                <w:sz w:val="20"/>
                <w:szCs w:val="20"/>
              </w:rPr>
              <w:t>Source</w:t>
            </w:r>
          </w:p>
        </w:tc>
      </w:tr>
      <w:tr w:rsidR="00965B97" w:rsidRPr="003E1859" w14:paraId="7B636A73" w14:textId="217149CE" w:rsidTr="00965B97">
        <w:trPr>
          <w:cantSplit/>
          <w:trHeight w:val="557"/>
        </w:trPr>
        <w:tc>
          <w:tcPr>
            <w:tcW w:w="2877" w:type="dxa"/>
            <w:vAlign w:val="center"/>
          </w:tcPr>
          <w:p w14:paraId="64E6D65F" w14:textId="55BE2A69" w:rsidR="00965B97" w:rsidRPr="003E1859" w:rsidRDefault="00965B97" w:rsidP="00FD26F0">
            <w:pPr>
              <w:keepNext/>
              <w:keepLines/>
              <w:spacing w:before="20" w:after="20"/>
              <w:rPr>
                <w:sz w:val="20"/>
                <w:szCs w:val="20"/>
              </w:rPr>
            </w:pPr>
            <w:r w:rsidRPr="003E1859">
              <w:rPr>
                <w:rFonts w:cstheme="minorHAnsi"/>
                <w:sz w:val="20"/>
                <w:szCs w:val="20"/>
              </w:rPr>
              <w:t>EUL (yrs)</w:t>
            </w:r>
            <w:r>
              <w:rPr>
                <w:rFonts w:cstheme="minorHAnsi"/>
                <w:sz w:val="20"/>
                <w:szCs w:val="20"/>
              </w:rPr>
              <w:t xml:space="preserve"> </w:t>
            </w:r>
          </w:p>
        </w:tc>
        <w:tc>
          <w:tcPr>
            <w:tcW w:w="1438" w:type="dxa"/>
            <w:vAlign w:val="center"/>
          </w:tcPr>
          <w:p w14:paraId="636160CC" w14:textId="29FC0567" w:rsidR="00965B97" w:rsidRPr="003E1859" w:rsidRDefault="00965B97" w:rsidP="00FD26F0">
            <w:pPr>
              <w:keepNext/>
              <w:keepLines/>
              <w:spacing w:before="20" w:after="20"/>
              <w:jc w:val="right"/>
              <w:rPr>
                <w:sz w:val="20"/>
                <w:szCs w:val="20"/>
              </w:rPr>
            </w:pPr>
            <w:r w:rsidRPr="003E1859">
              <w:rPr>
                <w:sz w:val="20"/>
                <w:szCs w:val="20"/>
              </w:rPr>
              <w:t>15.0</w:t>
            </w:r>
          </w:p>
        </w:tc>
        <w:tc>
          <w:tcPr>
            <w:tcW w:w="5220" w:type="dxa"/>
            <w:vMerge w:val="restart"/>
            <w:vAlign w:val="center"/>
          </w:tcPr>
          <w:p w14:paraId="4C7D91CA" w14:textId="77777777" w:rsidR="00965B97" w:rsidRPr="004204C5" w:rsidRDefault="00965B97" w:rsidP="00FD26F0">
            <w:pPr>
              <w:keepNext/>
              <w:keepLines/>
              <w:spacing w:before="20" w:after="20"/>
              <w:rPr>
                <w:sz w:val="18"/>
                <w:szCs w:val="18"/>
              </w:rPr>
            </w:pPr>
            <w:r w:rsidRPr="004204C5">
              <w:rPr>
                <w:sz w:val="18"/>
                <w:szCs w:val="18"/>
              </w:rPr>
              <w:t xml:space="preserve">California Public Utilities Commission (CPUC), Energy Division.  2003. </w:t>
            </w:r>
            <w:r w:rsidRPr="004204C5">
              <w:rPr>
                <w:i/>
                <w:iCs/>
                <w:sz w:val="18"/>
                <w:szCs w:val="18"/>
              </w:rPr>
              <w:t>Energy Efficiency Policy Manual v 2.0.</w:t>
            </w:r>
            <w:r w:rsidRPr="004204C5">
              <w:rPr>
                <w:sz w:val="18"/>
                <w:szCs w:val="18"/>
              </w:rPr>
              <w:t xml:space="preserve"> Page. 16.</w:t>
            </w:r>
          </w:p>
          <w:p w14:paraId="54E03724" w14:textId="77777777" w:rsidR="00965B97" w:rsidRPr="004204C5" w:rsidRDefault="00965B97" w:rsidP="00FD26F0">
            <w:pPr>
              <w:keepNext/>
              <w:keepLines/>
              <w:spacing w:before="20" w:after="20"/>
              <w:rPr>
                <w:sz w:val="18"/>
                <w:szCs w:val="18"/>
              </w:rPr>
            </w:pPr>
          </w:p>
          <w:p w14:paraId="12293357" w14:textId="71A91E51" w:rsidR="00965B97" w:rsidRPr="004204C5" w:rsidRDefault="00965B97" w:rsidP="00FD26F0">
            <w:pPr>
              <w:keepNext/>
              <w:keepLines/>
              <w:spacing w:before="20" w:after="20"/>
              <w:rPr>
                <w:sz w:val="18"/>
                <w:szCs w:val="18"/>
              </w:rPr>
            </w:pPr>
            <w:r w:rsidRPr="004204C5">
              <w:rPr>
                <w:sz w:val="18"/>
                <w:szCs w:val="18"/>
              </w:rPr>
              <w:t>California Public Utilities Commission (CPUC), Energy Division. 2014. “DEER2014-EUL-table-update_2014-02-05.xlsx”</w:t>
            </w:r>
          </w:p>
        </w:tc>
      </w:tr>
      <w:tr w:rsidR="00965B97" w:rsidRPr="003E1859" w14:paraId="71871DE1" w14:textId="51A3395E" w:rsidTr="00FD26F0">
        <w:trPr>
          <w:cantSplit/>
          <w:trHeight w:val="20"/>
        </w:trPr>
        <w:tc>
          <w:tcPr>
            <w:tcW w:w="2877" w:type="dxa"/>
            <w:vAlign w:val="center"/>
          </w:tcPr>
          <w:p w14:paraId="4BA48D82" w14:textId="5EFD77B9" w:rsidR="00965B97" w:rsidRPr="003E1859" w:rsidRDefault="00965B97" w:rsidP="00FD26F0">
            <w:pPr>
              <w:keepNext/>
              <w:keepLines/>
              <w:spacing w:before="20" w:after="20"/>
              <w:rPr>
                <w:sz w:val="20"/>
                <w:szCs w:val="20"/>
              </w:rPr>
            </w:pPr>
            <w:r w:rsidRPr="003E1859">
              <w:rPr>
                <w:rFonts w:cstheme="minorHAnsi"/>
                <w:sz w:val="20"/>
                <w:szCs w:val="20"/>
              </w:rPr>
              <w:t>RUL (yrs)</w:t>
            </w:r>
          </w:p>
        </w:tc>
        <w:tc>
          <w:tcPr>
            <w:tcW w:w="1438" w:type="dxa"/>
            <w:vAlign w:val="center"/>
          </w:tcPr>
          <w:p w14:paraId="012CC38D" w14:textId="5E1A70EA" w:rsidR="00965B97" w:rsidRPr="003E1859" w:rsidRDefault="00965B97" w:rsidP="00FD26F0">
            <w:pPr>
              <w:keepNext/>
              <w:keepLines/>
              <w:spacing w:before="20" w:after="20"/>
              <w:jc w:val="right"/>
              <w:rPr>
                <w:sz w:val="20"/>
                <w:szCs w:val="20"/>
              </w:rPr>
            </w:pPr>
            <w:r w:rsidRPr="003E1859">
              <w:rPr>
                <w:sz w:val="20"/>
                <w:szCs w:val="20"/>
              </w:rPr>
              <w:t>5.0</w:t>
            </w:r>
          </w:p>
        </w:tc>
        <w:tc>
          <w:tcPr>
            <w:tcW w:w="5220" w:type="dxa"/>
            <w:vMerge/>
            <w:vAlign w:val="center"/>
          </w:tcPr>
          <w:p w14:paraId="7DDC9DCA" w14:textId="51504634" w:rsidR="00965B97" w:rsidRPr="003E1859" w:rsidRDefault="00965B97" w:rsidP="00FD26F0">
            <w:pPr>
              <w:keepNext/>
              <w:keepLines/>
              <w:spacing w:before="20" w:after="20"/>
              <w:rPr>
                <w:sz w:val="20"/>
                <w:szCs w:val="20"/>
              </w:rPr>
            </w:pPr>
          </w:p>
        </w:tc>
      </w:tr>
    </w:tbl>
    <w:p w14:paraId="21BBC22B" w14:textId="77777777" w:rsidR="007D230B" w:rsidRPr="004B06E3" w:rsidRDefault="007D230B" w:rsidP="004142EF"/>
    <w:p w14:paraId="3B14B593" w14:textId="77777777" w:rsidR="007D230B" w:rsidRPr="004B06E3" w:rsidRDefault="007D230B" w:rsidP="00462BB6">
      <w:pPr>
        <w:pStyle w:val="eTRMHeading3"/>
      </w:pPr>
      <w:bookmarkStart w:id="66" w:name="_Toc486490860"/>
      <w:bookmarkStart w:id="67" w:name="_Toc486580931"/>
      <w:bookmarkStart w:id="68" w:name="_Toc11253781"/>
      <w:r w:rsidRPr="004B06E3">
        <w:t>Base Case Material Cost ($/unit)</w:t>
      </w:r>
      <w:bookmarkEnd w:id="66"/>
      <w:bookmarkEnd w:id="67"/>
      <w:bookmarkEnd w:id="68"/>
    </w:p>
    <w:p w14:paraId="49B2CCB7" w14:textId="7B0D9D42" w:rsidR="00D07D83" w:rsidRDefault="00A61AFB" w:rsidP="004142EF">
      <w:r>
        <w:t xml:space="preserve">The base case </w:t>
      </w:r>
      <w:r w:rsidR="00DF22F2">
        <w:t xml:space="preserve">material </w:t>
      </w:r>
      <w:r>
        <w:t>cost of an existing high limit/</w:t>
      </w:r>
      <w:r w:rsidRPr="00A768BF">
        <w:t xml:space="preserve">low limit </w:t>
      </w:r>
      <w:r w:rsidRPr="00760D30">
        <w:t xml:space="preserve">aquastat </w:t>
      </w:r>
      <w:r w:rsidRPr="00A768BF">
        <w:t xml:space="preserve">tank temperature setpoint </w:t>
      </w:r>
      <w:r>
        <w:t xml:space="preserve">controller </w:t>
      </w:r>
      <w:r w:rsidR="00DF22F2">
        <w:t xml:space="preserve">was derived from the list price on </w:t>
      </w:r>
      <w:r w:rsidR="004204C5">
        <w:t>www.</w:t>
      </w:r>
      <w:r w:rsidR="00DF22F2">
        <w:t xml:space="preserve">SupplyHouse.com, recorded </w:t>
      </w:r>
      <w:r w:rsidR="004728DA">
        <w:t>prior to</w:t>
      </w:r>
      <w:r w:rsidR="00DF22F2">
        <w:t xml:space="preserve"> </w:t>
      </w:r>
      <w:r w:rsidR="00915F52">
        <w:t>2018</w:t>
      </w:r>
      <w:r w:rsidR="00DF22F2">
        <w:t xml:space="preserve">. </w:t>
      </w:r>
      <w:r w:rsidR="00A05362">
        <w:t xml:space="preserve">The list price was normalized per dwelling unit served </w:t>
      </w:r>
      <w:r w:rsidR="00915F52">
        <w:t>by</w:t>
      </w:r>
      <w:r w:rsidR="00A05362">
        <w:t xml:space="preserve"> the boiler.</w:t>
      </w:r>
    </w:p>
    <w:p w14:paraId="6E7F45D9" w14:textId="2BAB0823" w:rsidR="000D3E86" w:rsidRDefault="000D3E86" w:rsidP="00B809CE">
      <w:pPr>
        <w:pStyle w:val="Caption"/>
      </w:pPr>
      <w:r>
        <w:t>Base Case Cost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12"/>
        <w:gridCol w:w="1170"/>
        <w:gridCol w:w="5040"/>
      </w:tblGrid>
      <w:tr w:rsidR="00A05362" w:rsidRPr="00500C4E" w14:paraId="09103C76" w14:textId="77777777" w:rsidTr="004728DA">
        <w:trPr>
          <w:cantSplit/>
          <w:trHeight w:val="20"/>
        </w:trPr>
        <w:tc>
          <w:tcPr>
            <w:tcW w:w="3312" w:type="dxa"/>
            <w:shd w:val="clear" w:color="auto" w:fill="F2F2F2" w:themeFill="background1" w:themeFillShade="F2"/>
            <w:vAlign w:val="bottom"/>
          </w:tcPr>
          <w:p w14:paraId="3E69FD4D" w14:textId="77777777" w:rsidR="00A05362" w:rsidRPr="00694410" w:rsidRDefault="00A05362" w:rsidP="00AE15ED">
            <w:pPr>
              <w:keepNext/>
              <w:keepLines/>
              <w:spacing w:before="20" w:after="20"/>
              <w:jc w:val="center"/>
              <w:rPr>
                <w:rFonts w:cstheme="minorHAnsi"/>
                <w:b/>
                <w:sz w:val="20"/>
                <w:szCs w:val="20"/>
              </w:rPr>
            </w:pPr>
            <w:r>
              <w:rPr>
                <w:rFonts w:cstheme="minorHAnsi"/>
                <w:b/>
                <w:sz w:val="20"/>
                <w:szCs w:val="20"/>
              </w:rPr>
              <w:t>Parameter</w:t>
            </w:r>
          </w:p>
        </w:tc>
        <w:tc>
          <w:tcPr>
            <w:tcW w:w="1170" w:type="dxa"/>
            <w:shd w:val="clear" w:color="auto" w:fill="F2F2F2" w:themeFill="background1" w:themeFillShade="F2"/>
          </w:tcPr>
          <w:p w14:paraId="0327537C" w14:textId="77777777" w:rsidR="00A05362" w:rsidRPr="00694410" w:rsidRDefault="00A05362" w:rsidP="00AE15ED">
            <w:pPr>
              <w:keepNext/>
              <w:keepLines/>
              <w:spacing w:before="20" w:after="20"/>
              <w:jc w:val="center"/>
              <w:rPr>
                <w:rFonts w:cstheme="minorHAnsi"/>
                <w:b/>
                <w:sz w:val="20"/>
                <w:szCs w:val="20"/>
              </w:rPr>
            </w:pPr>
            <w:r>
              <w:rPr>
                <w:rFonts w:cstheme="minorHAnsi"/>
                <w:b/>
                <w:sz w:val="20"/>
                <w:szCs w:val="20"/>
              </w:rPr>
              <w:t>Value</w:t>
            </w:r>
          </w:p>
        </w:tc>
        <w:tc>
          <w:tcPr>
            <w:tcW w:w="5040" w:type="dxa"/>
            <w:shd w:val="clear" w:color="auto" w:fill="F2F2F2" w:themeFill="background1" w:themeFillShade="F2"/>
          </w:tcPr>
          <w:p w14:paraId="16BA6DBA" w14:textId="77777777" w:rsidR="00A05362" w:rsidRPr="00694410" w:rsidRDefault="00A05362" w:rsidP="00AE15ED">
            <w:pPr>
              <w:keepNext/>
              <w:keepLines/>
              <w:spacing w:before="20" w:after="20"/>
              <w:jc w:val="center"/>
              <w:rPr>
                <w:rFonts w:cstheme="minorHAnsi"/>
                <w:b/>
                <w:sz w:val="20"/>
                <w:szCs w:val="20"/>
              </w:rPr>
            </w:pPr>
            <w:r>
              <w:rPr>
                <w:rFonts w:cstheme="minorHAnsi"/>
                <w:b/>
                <w:sz w:val="20"/>
                <w:szCs w:val="20"/>
              </w:rPr>
              <w:t>Source</w:t>
            </w:r>
          </w:p>
        </w:tc>
      </w:tr>
      <w:tr w:rsidR="00473A64" w:rsidRPr="00A05362" w14:paraId="4FDD848E" w14:textId="77777777" w:rsidTr="004728DA">
        <w:trPr>
          <w:cantSplit/>
          <w:trHeight w:val="20"/>
        </w:trPr>
        <w:tc>
          <w:tcPr>
            <w:tcW w:w="3312" w:type="dxa"/>
          </w:tcPr>
          <w:p w14:paraId="4EEC34B6" w14:textId="71C1CA54" w:rsidR="00473A64" w:rsidRPr="00A05362" w:rsidRDefault="00473A64" w:rsidP="00A05362">
            <w:pPr>
              <w:keepNext/>
              <w:keepLines/>
              <w:spacing w:before="20" w:after="20"/>
              <w:rPr>
                <w:sz w:val="20"/>
                <w:szCs w:val="20"/>
              </w:rPr>
            </w:pPr>
            <w:r w:rsidRPr="00A05362">
              <w:rPr>
                <w:rFonts w:cs="Calibri"/>
                <w:color w:val="191919" w:themeColor="text1"/>
                <w:sz w:val="20"/>
                <w:szCs w:val="20"/>
              </w:rPr>
              <w:t>High or Low Limit Aquastat, 100-240</w:t>
            </w:r>
            <w:r>
              <w:rPr>
                <w:rFonts w:cs="Calibri"/>
                <w:color w:val="191919" w:themeColor="text1"/>
                <w:sz w:val="20"/>
                <w:szCs w:val="20"/>
              </w:rPr>
              <w:t xml:space="preserve"> </w:t>
            </w:r>
            <w:r w:rsidRPr="00A05362">
              <w:rPr>
                <w:rFonts w:cs="Calibri"/>
                <w:color w:val="191919" w:themeColor="text1"/>
                <w:sz w:val="20"/>
                <w:szCs w:val="20"/>
              </w:rPr>
              <w:t>°F range, 5</w:t>
            </w:r>
            <w:r>
              <w:rPr>
                <w:rFonts w:cs="Calibri"/>
                <w:color w:val="191919" w:themeColor="text1"/>
                <w:sz w:val="20"/>
                <w:szCs w:val="20"/>
              </w:rPr>
              <w:t xml:space="preserve"> </w:t>
            </w:r>
            <w:r w:rsidRPr="00A05362">
              <w:rPr>
                <w:rFonts w:cs="Calibri"/>
                <w:color w:val="191919" w:themeColor="text1"/>
                <w:sz w:val="20"/>
                <w:szCs w:val="20"/>
              </w:rPr>
              <w:t>°F to 30</w:t>
            </w:r>
            <w:r>
              <w:rPr>
                <w:rFonts w:cs="Calibri"/>
                <w:color w:val="191919" w:themeColor="text1"/>
                <w:sz w:val="20"/>
                <w:szCs w:val="20"/>
              </w:rPr>
              <w:t xml:space="preserve"> </w:t>
            </w:r>
            <w:r w:rsidRPr="00A05362">
              <w:rPr>
                <w:rFonts w:cs="Calibri"/>
                <w:color w:val="191919" w:themeColor="text1"/>
                <w:sz w:val="20"/>
                <w:szCs w:val="20"/>
              </w:rPr>
              <w:t>°F Differential</w:t>
            </w:r>
          </w:p>
        </w:tc>
        <w:tc>
          <w:tcPr>
            <w:tcW w:w="1170" w:type="dxa"/>
            <w:vAlign w:val="center"/>
          </w:tcPr>
          <w:p w14:paraId="56AF0CA6" w14:textId="47AF7118" w:rsidR="00473A64" w:rsidRPr="00A05362" w:rsidRDefault="00473A64" w:rsidP="00A05362">
            <w:pPr>
              <w:keepNext/>
              <w:keepLines/>
              <w:spacing w:before="20" w:after="20"/>
              <w:jc w:val="right"/>
              <w:rPr>
                <w:sz w:val="20"/>
                <w:szCs w:val="20"/>
              </w:rPr>
            </w:pPr>
            <w:r w:rsidRPr="00A05362">
              <w:rPr>
                <w:sz w:val="20"/>
                <w:szCs w:val="20"/>
              </w:rPr>
              <w:t>$192</w:t>
            </w:r>
          </w:p>
        </w:tc>
        <w:tc>
          <w:tcPr>
            <w:tcW w:w="5040" w:type="dxa"/>
            <w:vMerge w:val="restart"/>
            <w:shd w:val="clear" w:color="auto" w:fill="auto"/>
          </w:tcPr>
          <w:p w14:paraId="148510AD" w14:textId="66003586" w:rsidR="00473A64" w:rsidRPr="00A05362" w:rsidRDefault="00473A64" w:rsidP="004728DA">
            <w:pPr>
              <w:keepNext/>
              <w:keepLines/>
              <w:spacing w:before="20" w:after="20"/>
              <w:rPr>
                <w:sz w:val="18"/>
                <w:szCs w:val="18"/>
              </w:rPr>
            </w:pPr>
            <w:r w:rsidRPr="004728DA">
              <w:rPr>
                <w:sz w:val="18"/>
                <w:szCs w:val="18"/>
              </w:rPr>
              <w:t xml:space="preserve">Honeywell </w:t>
            </w:r>
            <w:r w:rsidRPr="004728DA">
              <w:rPr>
                <w:rFonts w:cs="Calibri"/>
                <w:color w:val="191919" w:themeColor="text1"/>
                <w:sz w:val="18"/>
                <w:szCs w:val="18"/>
              </w:rPr>
              <w:t>High or Low Limit Aquastat, 100-240 °F range, 5 °F to 30 °F Differential</w:t>
            </w:r>
            <w:r>
              <w:rPr>
                <w:rFonts w:cs="Calibri"/>
                <w:color w:val="191919" w:themeColor="text1"/>
                <w:sz w:val="18"/>
                <w:szCs w:val="18"/>
              </w:rPr>
              <w:t>. Estimate</w:t>
            </w:r>
            <w:r w:rsidRPr="004728DA">
              <w:rPr>
                <w:sz w:val="18"/>
                <w:szCs w:val="18"/>
              </w:rPr>
              <w:t xml:space="preserve"> from SupplyHouse.com. SKU L4006A1678.</w:t>
            </w:r>
            <w:r>
              <w:rPr>
                <w:rStyle w:val="CommentReference"/>
              </w:rPr>
              <w:t xml:space="preserve"> </w:t>
            </w:r>
          </w:p>
        </w:tc>
      </w:tr>
      <w:tr w:rsidR="00473A64" w:rsidRPr="00A05362" w14:paraId="65D19B79" w14:textId="77777777" w:rsidTr="004728DA">
        <w:trPr>
          <w:cantSplit/>
          <w:trHeight w:val="20"/>
        </w:trPr>
        <w:tc>
          <w:tcPr>
            <w:tcW w:w="3312" w:type="dxa"/>
          </w:tcPr>
          <w:p w14:paraId="00330EE9" w14:textId="77777777" w:rsidR="00473A64" w:rsidRPr="00A05362" w:rsidRDefault="00473A64" w:rsidP="00A05362">
            <w:pPr>
              <w:keepNext/>
              <w:keepLines/>
              <w:spacing w:before="20" w:after="20"/>
              <w:rPr>
                <w:sz w:val="20"/>
                <w:szCs w:val="20"/>
              </w:rPr>
            </w:pPr>
            <w:r w:rsidRPr="00A05362">
              <w:rPr>
                <w:sz w:val="20"/>
                <w:szCs w:val="20"/>
              </w:rPr>
              <w:t>Residential units served by boiler</w:t>
            </w:r>
          </w:p>
        </w:tc>
        <w:tc>
          <w:tcPr>
            <w:tcW w:w="1170" w:type="dxa"/>
            <w:vAlign w:val="center"/>
          </w:tcPr>
          <w:p w14:paraId="41CFB385" w14:textId="7F7F1F41" w:rsidR="00473A64" w:rsidRPr="00A05362" w:rsidRDefault="00473A64" w:rsidP="00A05362">
            <w:pPr>
              <w:keepNext/>
              <w:keepLines/>
              <w:spacing w:before="20" w:after="20"/>
              <w:jc w:val="right"/>
              <w:rPr>
                <w:sz w:val="20"/>
                <w:szCs w:val="20"/>
              </w:rPr>
            </w:pPr>
            <w:r w:rsidRPr="00A05362">
              <w:rPr>
                <w:sz w:val="20"/>
                <w:szCs w:val="20"/>
              </w:rPr>
              <w:t>12</w:t>
            </w:r>
          </w:p>
        </w:tc>
        <w:tc>
          <w:tcPr>
            <w:tcW w:w="5040" w:type="dxa"/>
            <w:vMerge/>
            <w:shd w:val="clear" w:color="auto" w:fill="auto"/>
          </w:tcPr>
          <w:p w14:paraId="5826DBF8" w14:textId="77777777" w:rsidR="00473A64" w:rsidRPr="00A05362" w:rsidRDefault="00473A64" w:rsidP="00A05362">
            <w:pPr>
              <w:keepNext/>
              <w:keepLines/>
              <w:spacing w:before="20" w:after="20"/>
              <w:rPr>
                <w:rFonts w:cstheme="minorHAnsi"/>
                <w:sz w:val="20"/>
                <w:szCs w:val="20"/>
              </w:rPr>
            </w:pPr>
          </w:p>
        </w:tc>
      </w:tr>
    </w:tbl>
    <w:p w14:paraId="5EE626C3" w14:textId="77777777" w:rsidR="00A05362" w:rsidRDefault="00A05362" w:rsidP="004142EF"/>
    <w:p w14:paraId="44E8DBEB" w14:textId="7A2175C3" w:rsidR="007D230B" w:rsidRPr="004B06E3" w:rsidRDefault="007D230B" w:rsidP="00462BB6">
      <w:pPr>
        <w:pStyle w:val="eTRMHeading3"/>
      </w:pPr>
      <w:bookmarkStart w:id="69" w:name="_Toc486490861"/>
      <w:bookmarkStart w:id="70" w:name="_Toc486580932"/>
      <w:bookmarkStart w:id="71" w:name="_Toc11253782"/>
      <w:r w:rsidRPr="004B06E3">
        <w:t>Measure Case Material Cost ($/</w:t>
      </w:r>
      <w:r w:rsidR="00E75E3E">
        <w:t>u</w:t>
      </w:r>
      <w:r w:rsidR="00A61AFB">
        <w:t>nit</w:t>
      </w:r>
      <w:r w:rsidRPr="004B06E3">
        <w:t>)</w:t>
      </w:r>
      <w:bookmarkEnd w:id="69"/>
      <w:bookmarkEnd w:id="70"/>
      <w:bookmarkEnd w:id="71"/>
    </w:p>
    <w:p w14:paraId="463C8867" w14:textId="4A921429" w:rsidR="008A590F" w:rsidRPr="0077159C" w:rsidRDefault="00A05362" w:rsidP="008A590F">
      <w:r>
        <w:t xml:space="preserve">The measure case material cost was derived from the list price on SupplyHouse.com, recorded in </w:t>
      </w:r>
      <w:r w:rsidR="00915F52">
        <w:t>2018</w:t>
      </w:r>
      <w:r>
        <w:t xml:space="preserve">. The list price was normalized per dwelling unit served </w:t>
      </w:r>
      <w:r w:rsidR="00915F52">
        <w:t>by</w:t>
      </w:r>
      <w:r>
        <w:t xml:space="preserve"> the boiler.</w:t>
      </w:r>
    </w:p>
    <w:p w14:paraId="5A6ABE85" w14:textId="52CC515A" w:rsidR="00E33FCE" w:rsidRPr="008555E7" w:rsidRDefault="00E33FCE" w:rsidP="00B809CE">
      <w:pPr>
        <w:pStyle w:val="Caption"/>
      </w:pPr>
      <w:r w:rsidRPr="008555E7">
        <w:t xml:space="preserve">Measure </w:t>
      </w:r>
      <w:r w:rsidR="00A05362">
        <w:t xml:space="preserve">Case Material </w:t>
      </w:r>
      <w:r w:rsidRPr="008555E7">
        <w:t>Cost</w:t>
      </w:r>
      <w:r w:rsidR="00A05362">
        <w:t xml:space="preserve">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456"/>
        <w:gridCol w:w="1170"/>
        <w:gridCol w:w="4896"/>
      </w:tblGrid>
      <w:tr w:rsidR="003E1859" w:rsidRPr="00500C4E" w14:paraId="01AE11AC" w14:textId="77777777" w:rsidTr="004728DA">
        <w:trPr>
          <w:cantSplit/>
          <w:trHeight w:val="20"/>
        </w:trPr>
        <w:tc>
          <w:tcPr>
            <w:tcW w:w="3456" w:type="dxa"/>
            <w:shd w:val="clear" w:color="auto" w:fill="F2F2F2" w:themeFill="background1" w:themeFillShade="F2"/>
            <w:vAlign w:val="bottom"/>
          </w:tcPr>
          <w:p w14:paraId="3782CBFC" w14:textId="77777777" w:rsidR="003E1859" w:rsidRPr="00694410" w:rsidRDefault="003E1859" w:rsidP="00B809CE">
            <w:pPr>
              <w:keepNext/>
              <w:keepLines/>
              <w:spacing w:before="20" w:after="20"/>
              <w:jc w:val="center"/>
              <w:rPr>
                <w:rFonts w:cstheme="minorHAnsi"/>
                <w:b/>
                <w:sz w:val="20"/>
                <w:szCs w:val="20"/>
              </w:rPr>
            </w:pPr>
            <w:r>
              <w:rPr>
                <w:rFonts w:cstheme="minorHAnsi"/>
                <w:b/>
                <w:sz w:val="20"/>
                <w:szCs w:val="20"/>
              </w:rPr>
              <w:t>Parameter</w:t>
            </w:r>
          </w:p>
        </w:tc>
        <w:tc>
          <w:tcPr>
            <w:tcW w:w="1170" w:type="dxa"/>
            <w:shd w:val="clear" w:color="auto" w:fill="F2F2F2" w:themeFill="background1" w:themeFillShade="F2"/>
          </w:tcPr>
          <w:p w14:paraId="2FD85F16" w14:textId="77777777" w:rsidR="003E1859" w:rsidRPr="00694410" w:rsidRDefault="003E1859" w:rsidP="00B809CE">
            <w:pPr>
              <w:keepNext/>
              <w:keepLines/>
              <w:spacing w:before="20" w:after="20"/>
              <w:jc w:val="center"/>
              <w:rPr>
                <w:rFonts w:cstheme="minorHAnsi"/>
                <w:b/>
                <w:sz w:val="20"/>
                <w:szCs w:val="20"/>
              </w:rPr>
            </w:pPr>
            <w:r>
              <w:rPr>
                <w:rFonts w:cstheme="minorHAnsi"/>
                <w:b/>
                <w:sz w:val="20"/>
                <w:szCs w:val="20"/>
              </w:rPr>
              <w:t>Value</w:t>
            </w:r>
          </w:p>
        </w:tc>
        <w:tc>
          <w:tcPr>
            <w:tcW w:w="4896" w:type="dxa"/>
            <w:shd w:val="clear" w:color="auto" w:fill="F2F2F2" w:themeFill="background1" w:themeFillShade="F2"/>
          </w:tcPr>
          <w:p w14:paraId="1AC48EFC" w14:textId="77777777" w:rsidR="003E1859" w:rsidRPr="00694410" w:rsidRDefault="003E1859" w:rsidP="00B809CE">
            <w:pPr>
              <w:keepNext/>
              <w:keepLines/>
              <w:spacing w:before="20" w:after="20"/>
              <w:jc w:val="center"/>
              <w:rPr>
                <w:rFonts w:cstheme="minorHAnsi"/>
                <w:b/>
                <w:sz w:val="20"/>
                <w:szCs w:val="20"/>
              </w:rPr>
            </w:pPr>
            <w:r>
              <w:rPr>
                <w:rFonts w:cstheme="minorHAnsi"/>
                <w:b/>
                <w:sz w:val="20"/>
                <w:szCs w:val="20"/>
              </w:rPr>
              <w:t>Source</w:t>
            </w:r>
          </w:p>
        </w:tc>
      </w:tr>
      <w:tr w:rsidR="00473A64" w:rsidRPr="00500C4E" w14:paraId="100FE5A9" w14:textId="77777777" w:rsidTr="004728DA">
        <w:trPr>
          <w:cantSplit/>
          <w:trHeight w:val="20"/>
        </w:trPr>
        <w:tc>
          <w:tcPr>
            <w:tcW w:w="3456" w:type="dxa"/>
            <w:vAlign w:val="center"/>
          </w:tcPr>
          <w:p w14:paraId="0DE8A8D6" w14:textId="7AF94239" w:rsidR="00473A64" w:rsidRPr="00A05362" w:rsidRDefault="00473A64" w:rsidP="00A05362">
            <w:pPr>
              <w:keepNext/>
              <w:keepLines/>
              <w:spacing w:before="20" w:after="20"/>
              <w:rPr>
                <w:sz w:val="20"/>
                <w:szCs w:val="20"/>
              </w:rPr>
            </w:pPr>
            <w:r>
              <w:rPr>
                <w:rFonts w:cs="Calibri"/>
                <w:color w:val="191919" w:themeColor="text1"/>
                <w:sz w:val="20"/>
                <w:szCs w:val="20"/>
              </w:rPr>
              <w:t>Controller cost (d</w:t>
            </w:r>
            <w:r w:rsidRPr="00A05362">
              <w:rPr>
                <w:rFonts w:cs="Calibri"/>
                <w:color w:val="191919" w:themeColor="text1"/>
                <w:sz w:val="20"/>
                <w:szCs w:val="20"/>
              </w:rPr>
              <w:t>ual outdoor temperature reset and burners staging controller to a central hot water boiler</w:t>
            </w:r>
            <w:r>
              <w:rPr>
                <w:rFonts w:cs="Calibri"/>
                <w:color w:val="191919" w:themeColor="text1"/>
                <w:sz w:val="20"/>
                <w:szCs w:val="20"/>
              </w:rPr>
              <w:t>)</w:t>
            </w:r>
          </w:p>
        </w:tc>
        <w:tc>
          <w:tcPr>
            <w:tcW w:w="1170" w:type="dxa"/>
            <w:vAlign w:val="center"/>
          </w:tcPr>
          <w:p w14:paraId="31A1D9CF" w14:textId="5B15A419" w:rsidR="00473A64" w:rsidRPr="00A05362" w:rsidRDefault="00473A64" w:rsidP="00A05362">
            <w:pPr>
              <w:keepNext/>
              <w:keepLines/>
              <w:spacing w:before="20" w:after="20"/>
              <w:jc w:val="right"/>
              <w:rPr>
                <w:color w:val="FF0000"/>
                <w:sz w:val="20"/>
                <w:szCs w:val="20"/>
              </w:rPr>
            </w:pPr>
            <w:r w:rsidRPr="00A05362">
              <w:rPr>
                <w:rFonts w:cs="Calibri"/>
                <w:color w:val="191919" w:themeColor="text1"/>
                <w:sz w:val="20"/>
                <w:szCs w:val="20"/>
              </w:rPr>
              <w:t>$1,000</w:t>
            </w:r>
          </w:p>
        </w:tc>
        <w:tc>
          <w:tcPr>
            <w:tcW w:w="4896" w:type="dxa"/>
            <w:vMerge w:val="restart"/>
            <w:vAlign w:val="center"/>
          </w:tcPr>
          <w:p w14:paraId="64579C31" w14:textId="2FBA00C6" w:rsidR="00473A64" w:rsidRPr="00A10355" w:rsidRDefault="00473A64" w:rsidP="004728DA">
            <w:pPr>
              <w:keepNext/>
              <w:keepLines/>
              <w:spacing w:before="20" w:after="20"/>
              <w:rPr>
                <w:color w:val="FF0000"/>
                <w:sz w:val="18"/>
                <w:szCs w:val="20"/>
              </w:rPr>
            </w:pPr>
            <w:r>
              <w:rPr>
                <w:sz w:val="18"/>
              </w:rPr>
              <w:t>Honeywell Modulating Temperature Reset Controller, 70 F to 140 F. Estimate from SupplyHouse.com. SKU T991B1003.</w:t>
            </w:r>
            <w:r>
              <w:rPr>
                <w:rStyle w:val="CommentReference"/>
              </w:rPr>
              <w:t xml:space="preserve"> </w:t>
            </w:r>
          </w:p>
        </w:tc>
      </w:tr>
      <w:tr w:rsidR="00473A64" w:rsidRPr="00A05362" w14:paraId="56F0B795" w14:textId="77777777" w:rsidTr="00193BD9">
        <w:trPr>
          <w:cantSplit/>
          <w:trHeight w:val="20"/>
        </w:trPr>
        <w:tc>
          <w:tcPr>
            <w:tcW w:w="34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DEED76" w14:textId="77777777" w:rsidR="00473A64" w:rsidRPr="00A05362" w:rsidRDefault="00473A64" w:rsidP="00A05362">
            <w:pPr>
              <w:keepNext/>
              <w:keepLines/>
              <w:spacing w:before="20" w:after="20"/>
              <w:rPr>
                <w:rFonts w:cs="Calibri"/>
                <w:color w:val="191919" w:themeColor="text1"/>
                <w:sz w:val="20"/>
                <w:szCs w:val="20"/>
              </w:rPr>
            </w:pPr>
            <w:r w:rsidRPr="00A05362">
              <w:rPr>
                <w:rFonts w:cs="Calibri"/>
                <w:color w:val="191919" w:themeColor="text1"/>
                <w:sz w:val="20"/>
                <w:szCs w:val="20"/>
              </w:rPr>
              <w:t>Residential units served by boiler</w:t>
            </w:r>
          </w:p>
        </w:tc>
        <w:tc>
          <w:tcPr>
            <w:tcW w:w="1170" w:type="dxa"/>
            <w:tcBorders>
              <w:top w:val="single" w:sz="4" w:space="0" w:color="A6A6A6" w:themeColor="background1" w:themeShade="A6"/>
              <w:left w:val="single" w:sz="4" w:space="0" w:color="A6A6A6" w:themeColor="background1" w:themeShade="A6"/>
              <w:bottom w:val="single" w:sz="4" w:space="0" w:color="A6A6A6" w:themeColor="background1" w:themeShade="A6"/>
            </w:tcBorders>
            <w:vAlign w:val="center"/>
          </w:tcPr>
          <w:p w14:paraId="7E48A826" w14:textId="14477856" w:rsidR="00473A64" w:rsidRPr="00A05362" w:rsidRDefault="00473A64" w:rsidP="00A05362">
            <w:pPr>
              <w:keepNext/>
              <w:keepLines/>
              <w:spacing w:before="20" w:after="20"/>
              <w:jc w:val="right"/>
              <w:rPr>
                <w:rFonts w:cs="Calibri"/>
                <w:color w:val="191919" w:themeColor="text1"/>
                <w:sz w:val="20"/>
                <w:szCs w:val="20"/>
              </w:rPr>
            </w:pPr>
            <w:r w:rsidRPr="00A05362">
              <w:rPr>
                <w:rFonts w:cs="Calibri"/>
                <w:color w:val="191919" w:themeColor="text1"/>
                <w:sz w:val="20"/>
                <w:szCs w:val="20"/>
              </w:rPr>
              <w:t>12</w:t>
            </w:r>
          </w:p>
        </w:tc>
        <w:tc>
          <w:tcPr>
            <w:tcW w:w="4896" w:type="dxa"/>
            <w:vMerge/>
            <w:tcBorders>
              <w:bottom w:val="single" w:sz="4" w:space="0" w:color="A6A6A6" w:themeColor="background1" w:themeShade="A6"/>
            </w:tcBorders>
            <w:shd w:val="clear" w:color="auto" w:fill="auto"/>
          </w:tcPr>
          <w:p w14:paraId="4467A34E" w14:textId="77777777" w:rsidR="00473A64" w:rsidRPr="00A05362" w:rsidRDefault="00473A64" w:rsidP="00AE15ED">
            <w:pPr>
              <w:keepNext/>
              <w:keepLines/>
              <w:spacing w:before="20" w:after="20"/>
              <w:rPr>
                <w:sz w:val="18"/>
              </w:rPr>
            </w:pPr>
          </w:p>
        </w:tc>
      </w:tr>
    </w:tbl>
    <w:p w14:paraId="5CCFBB61" w14:textId="77777777" w:rsidR="00D07D83" w:rsidRDefault="00D07D83" w:rsidP="004142EF"/>
    <w:p w14:paraId="02691007" w14:textId="3C007D4F" w:rsidR="007D230B" w:rsidRPr="004B06E3" w:rsidRDefault="002E5874" w:rsidP="00462BB6">
      <w:pPr>
        <w:pStyle w:val="eTRMHeading3"/>
      </w:pPr>
      <w:bookmarkStart w:id="72" w:name="_Toc486490862"/>
      <w:bookmarkStart w:id="73" w:name="_Toc486580933"/>
      <w:bookmarkStart w:id="74" w:name="_Toc11253783"/>
      <w:r>
        <w:t xml:space="preserve">Base Case </w:t>
      </w:r>
      <w:r w:rsidR="007D230B" w:rsidRPr="004B06E3">
        <w:t>Labor Cost ($/unit)</w:t>
      </w:r>
      <w:bookmarkEnd w:id="72"/>
      <w:bookmarkEnd w:id="73"/>
      <w:bookmarkEnd w:id="74"/>
    </w:p>
    <w:p w14:paraId="0CB762B3" w14:textId="7AA60546" w:rsidR="002E5874" w:rsidRDefault="000D3E86" w:rsidP="002E5874">
      <w:r>
        <w:t xml:space="preserve">The base case installation labor costs were obtained from </w:t>
      </w:r>
      <w:r w:rsidR="00FD26F0">
        <w:t xml:space="preserve">the </w:t>
      </w:r>
      <w:r w:rsidR="003E1859">
        <w:rPr>
          <w:rFonts w:cstheme="minorHAnsi"/>
        </w:rPr>
        <w:t>RSMeans 2016 Pluming Cost Data</w:t>
      </w:r>
      <w:r w:rsidR="00FD26F0">
        <w:rPr>
          <w:rFonts w:cstheme="minorHAnsi"/>
        </w:rPr>
        <w:t xml:space="preserve">. </w:t>
      </w:r>
    </w:p>
    <w:p w14:paraId="40095F9A" w14:textId="72EA33B1" w:rsidR="002A68FA" w:rsidRDefault="009A0A18" w:rsidP="00B809CE">
      <w:pPr>
        <w:pStyle w:val="Caption"/>
      </w:pPr>
      <w:r>
        <w:t xml:space="preserve">Base Case </w:t>
      </w:r>
      <w:r w:rsidR="002A68FA">
        <w:t>Installation Labor Cost Inputs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2A68FA" w:rsidRPr="00500C4E" w14:paraId="2AF92E92" w14:textId="77777777" w:rsidTr="00B809CE">
        <w:trPr>
          <w:cantSplit/>
          <w:trHeight w:val="20"/>
        </w:trPr>
        <w:tc>
          <w:tcPr>
            <w:tcW w:w="2877" w:type="dxa"/>
            <w:shd w:val="clear" w:color="auto" w:fill="F2F2F2" w:themeFill="background1" w:themeFillShade="F2"/>
            <w:vAlign w:val="bottom"/>
          </w:tcPr>
          <w:p w14:paraId="42A561A6" w14:textId="77777777" w:rsidR="002A68FA" w:rsidRPr="00694410" w:rsidRDefault="002A68FA" w:rsidP="00B809CE">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5D9FFAD0" w14:textId="77777777" w:rsidR="002A68FA" w:rsidRPr="00694410" w:rsidRDefault="002A68FA" w:rsidP="00B809CE">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D65F1C6" w14:textId="77777777" w:rsidR="002A68FA" w:rsidRPr="00694410" w:rsidRDefault="002A68FA" w:rsidP="00B809CE">
            <w:pPr>
              <w:keepNext/>
              <w:keepLines/>
              <w:spacing w:before="20" w:after="20"/>
              <w:jc w:val="center"/>
              <w:rPr>
                <w:rFonts w:cstheme="minorHAnsi"/>
                <w:b/>
                <w:sz w:val="20"/>
                <w:szCs w:val="20"/>
              </w:rPr>
            </w:pPr>
            <w:r>
              <w:rPr>
                <w:rFonts w:cstheme="minorHAnsi"/>
                <w:b/>
                <w:sz w:val="20"/>
                <w:szCs w:val="20"/>
              </w:rPr>
              <w:t>Source</w:t>
            </w:r>
          </w:p>
        </w:tc>
      </w:tr>
      <w:tr w:rsidR="00473A64" w:rsidRPr="00500C4E" w14:paraId="3A72026E" w14:textId="77777777" w:rsidTr="0018793D">
        <w:trPr>
          <w:cantSplit/>
          <w:trHeight w:val="20"/>
        </w:trPr>
        <w:tc>
          <w:tcPr>
            <w:tcW w:w="2877" w:type="dxa"/>
          </w:tcPr>
          <w:p w14:paraId="347C5142" w14:textId="133ADE7C" w:rsidR="00473A64" w:rsidRPr="00177EB6" w:rsidRDefault="00473A64" w:rsidP="00B809CE">
            <w:pPr>
              <w:keepNext/>
              <w:keepLines/>
              <w:spacing w:before="20" w:after="20"/>
              <w:rPr>
                <w:sz w:val="20"/>
                <w:szCs w:val="20"/>
              </w:rPr>
            </w:pPr>
            <w:r>
              <w:rPr>
                <w:sz w:val="20"/>
                <w:szCs w:val="20"/>
              </w:rPr>
              <w:t>Installation labor cost ($/dwelling unit)</w:t>
            </w:r>
          </w:p>
        </w:tc>
        <w:tc>
          <w:tcPr>
            <w:tcW w:w="1438" w:type="dxa"/>
            <w:vAlign w:val="center"/>
          </w:tcPr>
          <w:p w14:paraId="20462FFD" w14:textId="4CA50A53" w:rsidR="00473A64" w:rsidRPr="00B96E30" w:rsidRDefault="00473A64" w:rsidP="0018793D">
            <w:pPr>
              <w:keepNext/>
              <w:keepLines/>
              <w:spacing w:before="20" w:after="20"/>
              <w:jc w:val="right"/>
              <w:rPr>
                <w:sz w:val="20"/>
                <w:szCs w:val="20"/>
              </w:rPr>
            </w:pPr>
            <w:r w:rsidRPr="00B96E30">
              <w:rPr>
                <w:sz w:val="20"/>
                <w:szCs w:val="20"/>
              </w:rPr>
              <w:t>$</w:t>
            </w:r>
            <w:r>
              <w:rPr>
                <w:sz w:val="20"/>
                <w:szCs w:val="20"/>
              </w:rPr>
              <w:t>20</w:t>
            </w:r>
          </w:p>
        </w:tc>
        <w:tc>
          <w:tcPr>
            <w:tcW w:w="5220" w:type="dxa"/>
            <w:vMerge w:val="restart"/>
            <w:shd w:val="clear" w:color="auto" w:fill="auto"/>
          </w:tcPr>
          <w:p w14:paraId="3FABBCAD" w14:textId="7394ACBD" w:rsidR="00473A64" w:rsidRPr="00A05362" w:rsidRDefault="00473A64" w:rsidP="00B809CE">
            <w:pPr>
              <w:keepNext/>
              <w:keepLines/>
              <w:spacing w:before="20" w:after="20"/>
              <w:rPr>
                <w:sz w:val="18"/>
                <w:szCs w:val="20"/>
              </w:rPr>
            </w:pPr>
            <w:r w:rsidRPr="00A05362">
              <w:rPr>
                <w:rFonts w:cstheme="minorHAnsi"/>
                <w:sz w:val="18"/>
                <w:szCs w:val="20"/>
              </w:rPr>
              <w:t xml:space="preserve">Gordian Group. </w:t>
            </w:r>
            <w:r w:rsidRPr="00A05362">
              <w:rPr>
                <w:rFonts w:cstheme="minorHAnsi"/>
                <w:i/>
                <w:iCs/>
                <w:sz w:val="18"/>
                <w:szCs w:val="20"/>
              </w:rPr>
              <w:t>RSMeans 2016 Pluming Cost Data.</w:t>
            </w:r>
            <w:r w:rsidRPr="00A05362">
              <w:rPr>
                <w:rFonts w:cstheme="minorHAnsi"/>
                <w:sz w:val="18"/>
                <w:szCs w:val="20"/>
              </w:rPr>
              <w:t xml:space="preserve"> 39</w:t>
            </w:r>
            <w:r w:rsidRPr="00A05362">
              <w:rPr>
                <w:rFonts w:cstheme="minorHAnsi"/>
                <w:sz w:val="18"/>
                <w:szCs w:val="20"/>
                <w:vertAlign w:val="superscript"/>
              </w:rPr>
              <w:t>th</w:t>
            </w:r>
            <w:r w:rsidRPr="00A05362">
              <w:rPr>
                <w:rFonts w:cstheme="minorHAnsi"/>
                <w:sz w:val="18"/>
                <w:szCs w:val="20"/>
              </w:rPr>
              <w:t xml:space="preserve"> Annual Edition. Page 497, Space/Hot Water- Thermometer. </w:t>
            </w:r>
          </w:p>
        </w:tc>
      </w:tr>
      <w:tr w:rsidR="00473A64" w:rsidRPr="00500C4E" w14:paraId="02DD3558" w14:textId="77777777" w:rsidTr="0018793D">
        <w:trPr>
          <w:cantSplit/>
          <w:trHeight w:val="20"/>
        </w:trPr>
        <w:tc>
          <w:tcPr>
            <w:tcW w:w="2877" w:type="dxa"/>
          </w:tcPr>
          <w:p w14:paraId="0863B2D7" w14:textId="0E1D0DFC" w:rsidR="00473A64" w:rsidRDefault="00473A64" w:rsidP="00B809CE">
            <w:pPr>
              <w:keepNext/>
              <w:keepLines/>
              <w:spacing w:before="20" w:after="20"/>
              <w:rPr>
                <w:sz w:val="20"/>
                <w:szCs w:val="20"/>
              </w:rPr>
            </w:pPr>
            <w:r>
              <w:rPr>
                <w:sz w:val="20"/>
                <w:szCs w:val="20"/>
              </w:rPr>
              <w:t>Residential units served by boiler</w:t>
            </w:r>
          </w:p>
        </w:tc>
        <w:tc>
          <w:tcPr>
            <w:tcW w:w="1438" w:type="dxa"/>
            <w:vAlign w:val="center"/>
          </w:tcPr>
          <w:p w14:paraId="73D0A503" w14:textId="2F3F2560" w:rsidR="00473A64" w:rsidRPr="00B96E30" w:rsidRDefault="00473A64" w:rsidP="0018793D">
            <w:pPr>
              <w:keepNext/>
              <w:keepLines/>
              <w:spacing w:before="20" w:after="20"/>
              <w:jc w:val="right"/>
              <w:rPr>
                <w:sz w:val="20"/>
                <w:szCs w:val="20"/>
              </w:rPr>
            </w:pPr>
            <w:r>
              <w:rPr>
                <w:sz w:val="20"/>
                <w:szCs w:val="20"/>
              </w:rPr>
              <w:t>12</w:t>
            </w:r>
          </w:p>
        </w:tc>
        <w:tc>
          <w:tcPr>
            <w:tcW w:w="5220" w:type="dxa"/>
            <w:vMerge/>
            <w:shd w:val="clear" w:color="auto" w:fill="auto"/>
          </w:tcPr>
          <w:p w14:paraId="26576C29" w14:textId="77777777" w:rsidR="00473A64" w:rsidRDefault="00473A64" w:rsidP="00B809CE">
            <w:pPr>
              <w:keepNext/>
              <w:keepLines/>
              <w:spacing w:before="20" w:after="20"/>
              <w:rPr>
                <w:rFonts w:cstheme="minorHAnsi"/>
              </w:rPr>
            </w:pPr>
          </w:p>
        </w:tc>
      </w:tr>
    </w:tbl>
    <w:p w14:paraId="09122925" w14:textId="5D95BE33" w:rsidR="008042D1" w:rsidRDefault="008042D1" w:rsidP="002E5874"/>
    <w:p w14:paraId="69052B4D" w14:textId="2F7B9A39" w:rsidR="008042D1" w:rsidRDefault="002E5874" w:rsidP="00067715">
      <w:pPr>
        <w:pStyle w:val="eTRMHeading3"/>
      </w:pPr>
      <w:bookmarkStart w:id="75" w:name="_Toc11253784"/>
      <w:r>
        <w:lastRenderedPageBreak/>
        <w:t xml:space="preserve">Measure Case </w:t>
      </w:r>
      <w:r w:rsidRPr="004B06E3">
        <w:t>Labor Cost ($/unit)</w:t>
      </w:r>
      <w:bookmarkStart w:id="76" w:name="_Toc486490863"/>
      <w:bookmarkStart w:id="77" w:name="_Toc486580934"/>
      <w:bookmarkEnd w:id="75"/>
    </w:p>
    <w:p w14:paraId="2C0B5374" w14:textId="76784E84" w:rsidR="003E4FB6" w:rsidRDefault="00AA685B" w:rsidP="00AA685B">
      <w:r>
        <w:t xml:space="preserve">The </w:t>
      </w:r>
      <w:r w:rsidR="00F440B3">
        <w:t xml:space="preserve">total </w:t>
      </w:r>
      <w:r w:rsidR="002A68FA">
        <w:t xml:space="preserve">labor cost for </w:t>
      </w:r>
      <w:r>
        <w:t xml:space="preserve">installation </w:t>
      </w:r>
      <w:r w:rsidR="002A68FA">
        <w:t xml:space="preserve">and programming of the controller was provided by several contractors </w:t>
      </w:r>
      <w:r w:rsidR="00915F52">
        <w:t xml:space="preserve">in 2018. The list price was normalized per dwelling unit served by the boiler. </w:t>
      </w:r>
    </w:p>
    <w:p w14:paraId="2C7A8BE8" w14:textId="6F3DB4DA" w:rsidR="00AA685B" w:rsidRDefault="009A0A18" w:rsidP="00B809CE">
      <w:pPr>
        <w:pStyle w:val="Caption"/>
      </w:pPr>
      <w:r>
        <w:t xml:space="preserve">Measure </w:t>
      </w:r>
      <w:r w:rsidR="003E4FB6">
        <w:t>Installation Labor Cost Inputs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3E4FB6" w:rsidRPr="00500C4E" w14:paraId="45EC87C6" w14:textId="77777777" w:rsidTr="007D6808">
        <w:trPr>
          <w:cantSplit/>
          <w:trHeight w:val="20"/>
        </w:trPr>
        <w:tc>
          <w:tcPr>
            <w:tcW w:w="2877" w:type="dxa"/>
            <w:shd w:val="clear" w:color="auto" w:fill="F2F2F2" w:themeFill="background1" w:themeFillShade="F2"/>
            <w:vAlign w:val="bottom"/>
          </w:tcPr>
          <w:p w14:paraId="3441FA92" w14:textId="77777777" w:rsidR="003E4FB6" w:rsidRPr="00694410" w:rsidRDefault="003E4FB6" w:rsidP="007D6808">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62367619" w14:textId="77777777" w:rsidR="003E4FB6" w:rsidRPr="00694410" w:rsidRDefault="003E4FB6" w:rsidP="007D6808">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E5D8CB9" w14:textId="77777777" w:rsidR="003E4FB6" w:rsidRPr="00694410" w:rsidRDefault="003E4FB6" w:rsidP="007D6808">
            <w:pPr>
              <w:keepNext/>
              <w:keepLines/>
              <w:spacing w:before="20" w:after="20"/>
              <w:jc w:val="center"/>
              <w:rPr>
                <w:rFonts w:cstheme="minorHAnsi"/>
                <w:b/>
                <w:sz w:val="20"/>
                <w:szCs w:val="20"/>
              </w:rPr>
            </w:pPr>
            <w:r>
              <w:rPr>
                <w:rFonts w:cstheme="minorHAnsi"/>
                <w:b/>
                <w:sz w:val="20"/>
                <w:szCs w:val="20"/>
              </w:rPr>
              <w:t>Source</w:t>
            </w:r>
          </w:p>
        </w:tc>
      </w:tr>
      <w:tr w:rsidR="00473A64" w:rsidRPr="00500C4E" w14:paraId="12B7FDD2" w14:textId="77777777" w:rsidTr="0018793D">
        <w:trPr>
          <w:cantSplit/>
          <w:trHeight w:val="20"/>
        </w:trPr>
        <w:tc>
          <w:tcPr>
            <w:tcW w:w="2877" w:type="dxa"/>
          </w:tcPr>
          <w:p w14:paraId="42F0BB59" w14:textId="31A0876E" w:rsidR="00473A64" w:rsidRDefault="00473A64" w:rsidP="00AE15ED">
            <w:pPr>
              <w:keepNext/>
              <w:keepLines/>
              <w:spacing w:before="20" w:after="20"/>
              <w:rPr>
                <w:sz w:val="20"/>
                <w:szCs w:val="20"/>
              </w:rPr>
            </w:pPr>
            <w:r>
              <w:rPr>
                <w:sz w:val="20"/>
                <w:szCs w:val="20"/>
              </w:rPr>
              <w:t>Average installation and programming cost (per controller)</w:t>
            </w:r>
          </w:p>
        </w:tc>
        <w:tc>
          <w:tcPr>
            <w:tcW w:w="1438" w:type="dxa"/>
            <w:vAlign w:val="center"/>
          </w:tcPr>
          <w:p w14:paraId="28500F23" w14:textId="4A747252" w:rsidR="00473A64" w:rsidRPr="00B96E30" w:rsidRDefault="00473A64" w:rsidP="0018793D">
            <w:pPr>
              <w:keepNext/>
              <w:keepLines/>
              <w:spacing w:before="20" w:after="20"/>
              <w:ind w:right="340"/>
              <w:jc w:val="right"/>
              <w:rPr>
                <w:sz w:val="20"/>
                <w:szCs w:val="20"/>
              </w:rPr>
            </w:pPr>
            <w:r>
              <w:rPr>
                <w:sz w:val="20"/>
                <w:szCs w:val="20"/>
              </w:rPr>
              <w:t>$1,000</w:t>
            </w:r>
          </w:p>
        </w:tc>
        <w:tc>
          <w:tcPr>
            <w:tcW w:w="5220" w:type="dxa"/>
            <w:vMerge w:val="restart"/>
            <w:shd w:val="clear" w:color="auto" w:fill="auto"/>
            <w:vAlign w:val="center"/>
          </w:tcPr>
          <w:p w14:paraId="22618856" w14:textId="77EC508C" w:rsidR="00473A64" w:rsidRDefault="00473A64" w:rsidP="0018793D">
            <w:pPr>
              <w:keepNext/>
              <w:keepLines/>
              <w:spacing w:before="20" w:after="20"/>
              <w:rPr>
                <w:sz w:val="20"/>
                <w:szCs w:val="20"/>
              </w:rPr>
            </w:pPr>
            <w:r>
              <w:rPr>
                <w:sz w:val="20"/>
                <w:szCs w:val="20"/>
              </w:rPr>
              <w:t>Contractor estimated cost.</w:t>
            </w:r>
          </w:p>
        </w:tc>
      </w:tr>
      <w:tr w:rsidR="00473A64" w:rsidRPr="00500C4E" w14:paraId="6C5C6788" w14:textId="77777777" w:rsidTr="0018793D">
        <w:trPr>
          <w:cantSplit/>
          <w:trHeight w:val="20"/>
        </w:trPr>
        <w:tc>
          <w:tcPr>
            <w:tcW w:w="2877" w:type="dxa"/>
          </w:tcPr>
          <w:p w14:paraId="033A53AD" w14:textId="7063B49F" w:rsidR="00473A64" w:rsidRDefault="00473A64" w:rsidP="00FD26F0">
            <w:pPr>
              <w:keepNext/>
              <w:keepLines/>
              <w:spacing w:before="20" w:after="20"/>
              <w:rPr>
                <w:sz w:val="20"/>
                <w:szCs w:val="20"/>
              </w:rPr>
            </w:pPr>
            <w:r>
              <w:rPr>
                <w:sz w:val="20"/>
                <w:szCs w:val="20"/>
              </w:rPr>
              <w:t>Residential units served by boiler</w:t>
            </w:r>
          </w:p>
        </w:tc>
        <w:tc>
          <w:tcPr>
            <w:tcW w:w="1438" w:type="dxa"/>
            <w:vAlign w:val="center"/>
          </w:tcPr>
          <w:p w14:paraId="6FA8CDD7" w14:textId="3C1528AE" w:rsidR="00473A64" w:rsidRPr="00B96E30" w:rsidRDefault="00473A64" w:rsidP="0018793D">
            <w:pPr>
              <w:keepNext/>
              <w:keepLines/>
              <w:spacing w:before="20" w:after="20"/>
              <w:ind w:right="340"/>
              <w:jc w:val="right"/>
              <w:rPr>
                <w:sz w:val="20"/>
                <w:szCs w:val="20"/>
              </w:rPr>
            </w:pPr>
            <w:r>
              <w:rPr>
                <w:sz w:val="20"/>
                <w:szCs w:val="20"/>
              </w:rPr>
              <w:t>12.0</w:t>
            </w:r>
          </w:p>
        </w:tc>
        <w:tc>
          <w:tcPr>
            <w:tcW w:w="5220" w:type="dxa"/>
            <w:vMerge/>
            <w:shd w:val="clear" w:color="auto" w:fill="auto"/>
            <w:vAlign w:val="center"/>
          </w:tcPr>
          <w:p w14:paraId="39EDA193" w14:textId="77777777" w:rsidR="00473A64" w:rsidRDefault="00473A64" w:rsidP="0018793D">
            <w:pPr>
              <w:keepNext/>
              <w:keepLines/>
              <w:spacing w:before="20" w:after="20"/>
              <w:rPr>
                <w:sz w:val="20"/>
                <w:szCs w:val="20"/>
              </w:rPr>
            </w:pPr>
          </w:p>
        </w:tc>
      </w:tr>
    </w:tbl>
    <w:p w14:paraId="308DF687" w14:textId="513777AD" w:rsidR="003E4FB6" w:rsidRDefault="003E4FB6" w:rsidP="008042D1"/>
    <w:p w14:paraId="050D9183" w14:textId="7ABF5C13" w:rsidR="007D230B" w:rsidRPr="004B06E3" w:rsidRDefault="004B06E3" w:rsidP="00462BB6">
      <w:pPr>
        <w:pStyle w:val="eTRMHeading3"/>
      </w:pPr>
      <w:bookmarkStart w:id="78" w:name="_Toc11253785"/>
      <w:r>
        <w:t>Net-to-Gross</w:t>
      </w:r>
      <w:bookmarkEnd w:id="76"/>
      <w:bookmarkEnd w:id="77"/>
      <w:r w:rsidR="008D4652">
        <w:t xml:space="preserve"> (NTG)</w:t>
      </w:r>
      <w:bookmarkEnd w:id="78"/>
    </w:p>
    <w:p w14:paraId="3E85CF62" w14:textId="767946B3" w:rsidR="00B158E1" w:rsidRPr="004B06E3" w:rsidRDefault="00B158E1" w:rsidP="00B158E1">
      <w:r w:rsidRPr="00860FEC">
        <w:t xml:space="preserve">The net-to-gross (NTG) ratio represents the portion of gross impacts that are determined to be directly </w:t>
      </w:r>
      <w:r w:rsidRPr="0063038A">
        <w:t xml:space="preserve">attributed to a specific program intervention. This NTG value is based upon the average of all NTG ratios for all evaluated 2006 – 2008 </w:t>
      </w:r>
      <w:r>
        <w:t>residential</w:t>
      </w:r>
      <w:r w:rsidRPr="0063038A">
        <w:t xml:space="preserve"> programs, as documented in the 2011 DEER Update Study conducted by Itron, Inc. This sector average NTG (“default NTG”) is applicable to all energy efficiency measures that have</w:t>
      </w:r>
      <w:r w:rsidRPr="00AF3038">
        <w:t xml:space="preserve"> been offered </w:t>
      </w:r>
      <w:r>
        <w:t>through</w:t>
      </w:r>
      <w:r w:rsidRPr="00AF3038">
        <w:t xml:space="preserve"> </w:t>
      </w:r>
      <w:r>
        <w:t>residential</w:t>
      </w:r>
      <w:r w:rsidRPr="00AF3038">
        <w:t xml:space="preserve"> </w:t>
      </w:r>
      <w:r>
        <w:t xml:space="preserve">sector </w:t>
      </w:r>
      <w:r w:rsidRPr="00AF3038">
        <w:t>programs for more than two years and for which impact evaluation results are not available.</w:t>
      </w:r>
    </w:p>
    <w:p w14:paraId="2E71C79B" w14:textId="77777777" w:rsidR="00B158E1" w:rsidRPr="0059426D" w:rsidRDefault="00B158E1" w:rsidP="00B809CE">
      <w:pPr>
        <w:pStyle w:val="Caption"/>
      </w:pPr>
      <w:r>
        <w:t>Net-to-Gross Ratios</w:t>
      </w:r>
    </w:p>
    <w:tbl>
      <w:tblPr>
        <w:tblW w:w="984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736"/>
        <w:gridCol w:w="1800"/>
        <w:gridCol w:w="5310"/>
      </w:tblGrid>
      <w:tr w:rsidR="00B158E1" w:rsidRPr="0059426D" w14:paraId="083DF7F0" w14:textId="77777777" w:rsidTr="00915F52">
        <w:trPr>
          <w:cantSplit/>
          <w:trHeight w:val="20"/>
        </w:trPr>
        <w:tc>
          <w:tcPr>
            <w:tcW w:w="2736" w:type="dxa"/>
            <w:shd w:val="clear" w:color="000000" w:fill="F2F2F2" w:themeFill="background1" w:themeFillShade="F2"/>
            <w:vAlign w:val="bottom"/>
          </w:tcPr>
          <w:p w14:paraId="5E035974" w14:textId="77777777" w:rsidR="00B158E1" w:rsidRPr="0059426D"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Parameter</w:t>
            </w:r>
          </w:p>
        </w:tc>
        <w:tc>
          <w:tcPr>
            <w:tcW w:w="1800" w:type="dxa"/>
            <w:shd w:val="clear" w:color="000000" w:fill="F2F2F2" w:themeFill="background1" w:themeFillShade="F2"/>
            <w:vAlign w:val="bottom"/>
          </w:tcPr>
          <w:p w14:paraId="418B904E" w14:textId="77777777" w:rsidR="00B158E1" w:rsidRPr="0059426D"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Value</w:t>
            </w:r>
          </w:p>
        </w:tc>
        <w:tc>
          <w:tcPr>
            <w:tcW w:w="5310" w:type="dxa"/>
            <w:shd w:val="clear" w:color="000000" w:fill="F2F2F2" w:themeFill="background1" w:themeFillShade="F2"/>
          </w:tcPr>
          <w:p w14:paraId="222BE006" w14:textId="77777777" w:rsidR="00B158E1" w:rsidRDefault="00B158E1" w:rsidP="00915F52">
            <w:pPr>
              <w:keepNext/>
              <w:keepLines/>
              <w:spacing w:before="20" w:after="20" w:line="200" w:lineRule="atLeast"/>
              <w:jc w:val="center"/>
              <w:rPr>
                <w:rFonts w:cs="Arial"/>
                <w:b/>
                <w:color w:val="000000"/>
                <w:sz w:val="20"/>
                <w:szCs w:val="20"/>
              </w:rPr>
            </w:pPr>
            <w:r>
              <w:rPr>
                <w:rFonts w:cs="Arial"/>
                <w:b/>
                <w:color w:val="000000"/>
                <w:sz w:val="20"/>
                <w:szCs w:val="20"/>
              </w:rPr>
              <w:t>Source</w:t>
            </w:r>
          </w:p>
        </w:tc>
      </w:tr>
      <w:tr w:rsidR="007A4835" w:rsidRPr="00915F52" w14:paraId="7AEC5F5D" w14:textId="77777777" w:rsidTr="00915F52">
        <w:trPr>
          <w:cantSplit/>
          <w:trHeight w:val="20"/>
        </w:trPr>
        <w:tc>
          <w:tcPr>
            <w:tcW w:w="2736" w:type="dxa"/>
            <w:vAlign w:val="center"/>
          </w:tcPr>
          <w:p w14:paraId="4C5D56AD" w14:textId="5B643243" w:rsidR="007A4835" w:rsidRPr="00915F52" w:rsidRDefault="007A4835" w:rsidP="007A4835">
            <w:pPr>
              <w:keepNext/>
              <w:keepLines/>
              <w:spacing w:before="20" w:after="20" w:line="200" w:lineRule="atLeast"/>
              <w:rPr>
                <w:rFonts w:cstheme="minorHAnsi"/>
                <w:sz w:val="20"/>
                <w:szCs w:val="20"/>
              </w:rPr>
            </w:pPr>
            <w:r w:rsidRPr="000C3756">
              <w:rPr>
                <w:rFonts w:eastAsia="Calibri" w:cs="Calibri Light"/>
                <w:sz w:val="20"/>
                <w:szCs w:val="22"/>
              </w:rPr>
              <w:t xml:space="preserve">NTG </w:t>
            </w:r>
            <w:r>
              <w:rPr>
                <w:rFonts w:eastAsia="Calibri" w:cs="Calibri Light"/>
                <w:sz w:val="20"/>
                <w:szCs w:val="22"/>
              </w:rPr>
              <w:t>– Residential</w:t>
            </w:r>
          </w:p>
        </w:tc>
        <w:tc>
          <w:tcPr>
            <w:tcW w:w="1800" w:type="dxa"/>
            <w:shd w:val="clear" w:color="auto" w:fill="auto"/>
            <w:noWrap/>
            <w:vAlign w:val="center"/>
          </w:tcPr>
          <w:p w14:paraId="33D3164C" w14:textId="694E96BD" w:rsidR="007A4835" w:rsidRPr="00915F52" w:rsidRDefault="007A4835" w:rsidP="007A4835">
            <w:pPr>
              <w:keepNext/>
              <w:keepLines/>
              <w:spacing w:before="20" w:after="20" w:line="200" w:lineRule="atLeast"/>
              <w:jc w:val="center"/>
              <w:rPr>
                <w:color w:val="000000"/>
                <w:sz w:val="20"/>
                <w:szCs w:val="20"/>
              </w:rPr>
            </w:pPr>
            <w:r w:rsidRPr="00915F52">
              <w:rPr>
                <w:sz w:val="20"/>
                <w:szCs w:val="20"/>
              </w:rPr>
              <w:t>0.</w:t>
            </w:r>
            <w:r>
              <w:rPr>
                <w:sz w:val="20"/>
                <w:szCs w:val="20"/>
              </w:rPr>
              <w:t>5</w:t>
            </w:r>
            <w:r w:rsidRPr="00915F52">
              <w:rPr>
                <w:sz w:val="20"/>
                <w:szCs w:val="20"/>
              </w:rPr>
              <w:t>5</w:t>
            </w:r>
          </w:p>
        </w:tc>
        <w:tc>
          <w:tcPr>
            <w:tcW w:w="5310" w:type="dxa"/>
            <w:vAlign w:val="center"/>
          </w:tcPr>
          <w:p w14:paraId="440B2738" w14:textId="05266D48" w:rsidR="007A4835" w:rsidRPr="00915F52" w:rsidRDefault="007A4835" w:rsidP="007A4835">
            <w:pPr>
              <w:keepNext/>
              <w:keepLines/>
              <w:spacing w:before="20" w:after="20" w:line="200" w:lineRule="atLeast"/>
              <w:rPr>
                <w:color w:val="FF0000"/>
                <w:sz w:val="18"/>
                <w:szCs w:val="20"/>
              </w:rPr>
            </w:pPr>
            <w:r w:rsidRPr="000C3756">
              <w:rPr>
                <w:rFonts w:eastAsia="MS PMincho" w:cs="Calibri Light"/>
                <w:sz w:val="18"/>
              </w:rPr>
              <w:t>Itron, Inc. 2011. DEER Database 2011 Update Documentation. Prepared for the California Public Utilities Commission. Page 15-4, Table 15-3.</w:t>
            </w:r>
          </w:p>
        </w:tc>
      </w:tr>
    </w:tbl>
    <w:p w14:paraId="591372B0" w14:textId="77777777" w:rsidR="00B158E1" w:rsidRDefault="00B158E1" w:rsidP="00B158E1">
      <w:pPr>
        <w:rPr>
          <w:rFonts w:cs="Arial"/>
          <w:sz w:val="20"/>
          <w:szCs w:val="20"/>
        </w:rPr>
      </w:pPr>
    </w:p>
    <w:p w14:paraId="323B5B02" w14:textId="4C4B13DC" w:rsidR="007D230B" w:rsidRPr="004B06E3" w:rsidRDefault="00D02C36" w:rsidP="00462BB6">
      <w:pPr>
        <w:pStyle w:val="eTRMHeading3"/>
      </w:pPr>
      <w:bookmarkStart w:id="79" w:name="_Toc486490864"/>
      <w:bookmarkStart w:id="80" w:name="_Toc486580935"/>
      <w:bookmarkStart w:id="81" w:name="_Toc11253786"/>
      <w:r>
        <w:t>Gross Savings Installation Adjustment (</w:t>
      </w:r>
      <w:r w:rsidR="007D230B" w:rsidRPr="004B06E3">
        <w:t>GSIA</w:t>
      </w:r>
      <w:bookmarkEnd w:id="79"/>
      <w:bookmarkEnd w:id="80"/>
      <w:r>
        <w:t>)</w:t>
      </w:r>
      <w:bookmarkEnd w:id="81"/>
    </w:p>
    <w:p w14:paraId="7F15BC58" w14:textId="259A3ACA" w:rsidR="00B158E1" w:rsidRDefault="00B158E1" w:rsidP="00B158E1">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t>This GSIA rate is the current “default” rate specified for measures for which an alternative GSIA has not been estimated and approved.</w:t>
      </w:r>
      <w:r w:rsidR="005B0468">
        <w:t xml:space="preserve"> </w:t>
      </w:r>
    </w:p>
    <w:p w14:paraId="7FE780E3" w14:textId="77777777" w:rsidR="00B158E1" w:rsidRPr="0059426D" w:rsidRDefault="00B158E1" w:rsidP="00B809CE">
      <w:pPr>
        <w:pStyle w:val="Caption"/>
      </w:pPr>
      <w:r>
        <w:t>Gross Savings Installation Adjustment Rates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B158E1" w:rsidRPr="00052C24" w14:paraId="013D4D0A" w14:textId="77777777" w:rsidTr="00D07D83">
        <w:tc>
          <w:tcPr>
            <w:tcW w:w="2190" w:type="dxa"/>
            <w:shd w:val="clear" w:color="auto" w:fill="F2F2F2" w:themeFill="background1" w:themeFillShade="F2"/>
            <w:vAlign w:val="bottom"/>
          </w:tcPr>
          <w:p w14:paraId="6F488DA8" w14:textId="77777777" w:rsidR="00B158E1" w:rsidRPr="00052C24" w:rsidRDefault="00B158E1" w:rsidP="00D07D83">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4D6F5659" w14:textId="77777777" w:rsidR="00B158E1" w:rsidRPr="00052C24" w:rsidRDefault="00B158E1" w:rsidP="00D07D83">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435078F6" w14:textId="77777777" w:rsidR="00B158E1" w:rsidRDefault="00B158E1" w:rsidP="00D07D83">
            <w:pPr>
              <w:keepNext/>
              <w:keepLines/>
              <w:spacing w:before="0" w:after="0" w:line="200" w:lineRule="atLeast"/>
              <w:jc w:val="center"/>
              <w:rPr>
                <w:b/>
                <w:sz w:val="20"/>
              </w:rPr>
            </w:pPr>
            <w:r>
              <w:rPr>
                <w:b/>
                <w:sz w:val="20"/>
              </w:rPr>
              <w:t>Source</w:t>
            </w:r>
          </w:p>
        </w:tc>
      </w:tr>
      <w:tr w:rsidR="00B158E1" w:rsidRPr="009062D0" w14:paraId="08E12275" w14:textId="77777777" w:rsidTr="00D07D83">
        <w:trPr>
          <w:trHeight w:val="260"/>
        </w:trPr>
        <w:tc>
          <w:tcPr>
            <w:tcW w:w="2190" w:type="dxa"/>
            <w:vAlign w:val="center"/>
          </w:tcPr>
          <w:p w14:paraId="27C119AE" w14:textId="77777777" w:rsidR="00B158E1" w:rsidRPr="009062D0" w:rsidRDefault="00B158E1" w:rsidP="00D07D83">
            <w:pPr>
              <w:keepNext/>
              <w:keepLines/>
              <w:spacing w:before="0" w:after="0" w:line="200" w:lineRule="atLeast"/>
              <w:rPr>
                <w:sz w:val="20"/>
              </w:rPr>
            </w:pPr>
            <w:r>
              <w:rPr>
                <w:sz w:val="20"/>
              </w:rPr>
              <w:t>GSIA</w:t>
            </w:r>
          </w:p>
        </w:tc>
        <w:tc>
          <w:tcPr>
            <w:tcW w:w="1620" w:type="dxa"/>
            <w:shd w:val="clear" w:color="auto" w:fill="auto"/>
            <w:vAlign w:val="center"/>
          </w:tcPr>
          <w:p w14:paraId="3602DFA9" w14:textId="77777777" w:rsidR="00B158E1" w:rsidRPr="009062D0" w:rsidRDefault="00B158E1" w:rsidP="00D07D83">
            <w:pPr>
              <w:keepNext/>
              <w:keepLines/>
              <w:spacing w:before="0" w:after="0" w:line="200" w:lineRule="atLeast"/>
              <w:jc w:val="center"/>
              <w:rPr>
                <w:color w:val="FF0000"/>
                <w:sz w:val="20"/>
              </w:rPr>
            </w:pPr>
            <w:r w:rsidRPr="00B96E30">
              <w:rPr>
                <w:sz w:val="20"/>
                <w:szCs w:val="20"/>
              </w:rPr>
              <w:t>1.0</w:t>
            </w:r>
          </w:p>
        </w:tc>
        <w:tc>
          <w:tcPr>
            <w:tcW w:w="5640" w:type="dxa"/>
            <w:vAlign w:val="center"/>
          </w:tcPr>
          <w:p w14:paraId="274B2542" w14:textId="77777777" w:rsidR="00B158E1" w:rsidRPr="009062D0" w:rsidRDefault="00B158E1" w:rsidP="00D07D83">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11BA92EE" w14:textId="77777777" w:rsidR="00B158E1" w:rsidRDefault="00B158E1" w:rsidP="00DE1A0F">
      <w:pPr>
        <w:rPr>
          <w:rFonts w:cs="Arial"/>
          <w:sz w:val="20"/>
          <w:szCs w:val="20"/>
        </w:rPr>
      </w:pPr>
    </w:p>
    <w:p w14:paraId="498C05E5" w14:textId="232D8547" w:rsidR="002C67DF" w:rsidRPr="004B06E3" w:rsidRDefault="002C67DF" w:rsidP="00462BB6">
      <w:pPr>
        <w:pStyle w:val="eTRMHeading3"/>
      </w:pPr>
      <w:bookmarkStart w:id="82" w:name="_Toc486490865"/>
      <w:bookmarkStart w:id="83" w:name="_Toc486580936"/>
      <w:bookmarkStart w:id="84" w:name="_Toc11253787"/>
      <w:r w:rsidRPr="004B06E3">
        <w:t xml:space="preserve">Non-Energy </w:t>
      </w:r>
      <w:bookmarkEnd w:id="82"/>
      <w:bookmarkEnd w:id="83"/>
      <w:r w:rsidR="00DA6B7E">
        <w:t>Impacts</w:t>
      </w:r>
      <w:bookmarkEnd w:id="84"/>
    </w:p>
    <w:p w14:paraId="0D73FC70" w14:textId="27339D17" w:rsidR="00697A88" w:rsidRPr="00B158E1" w:rsidRDefault="00697A88" w:rsidP="00697A88">
      <w:pPr>
        <w:rPr>
          <w:rFonts w:cs="Arial"/>
          <w:szCs w:val="20"/>
        </w:rPr>
      </w:pPr>
      <w:r w:rsidRPr="00B158E1">
        <w:rPr>
          <w:rFonts w:cs="Arial"/>
          <w:szCs w:val="20"/>
        </w:rPr>
        <w:t xml:space="preserve">Non-energy benefits for this measure have not been </w:t>
      </w:r>
      <w:r w:rsidR="009D7F4D" w:rsidRPr="00B158E1">
        <w:rPr>
          <w:rFonts w:cs="Arial"/>
          <w:szCs w:val="20"/>
        </w:rPr>
        <w:t>quantified</w:t>
      </w:r>
      <w:r w:rsidRPr="00B158E1">
        <w:rPr>
          <w:rFonts w:cs="Arial"/>
          <w:szCs w:val="20"/>
        </w:rPr>
        <w:t>.</w:t>
      </w:r>
    </w:p>
    <w:p w14:paraId="0C37F289" w14:textId="77777777" w:rsidR="00697A88" w:rsidRDefault="00697A88" w:rsidP="004142EF"/>
    <w:p w14:paraId="7D8551BB" w14:textId="760F7D39" w:rsidR="009C31A4" w:rsidRPr="004B06E3" w:rsidRDefault="009C31A4" w:rsidP="00462BB6">
      <w:pPr>
        <w:pStyle w:val="eTRMHeading3"/>
      </w:pPr>
      <w:bookmarkStart w:id="85" w:name="_Toc11253788"/>
      <w:r>
        <w:lastRenderedPageBreak/>
        <w:t>DEER Differences Analysis</w:t>
      </w:r>
      <w:bookmarkEnd w:id="85"/>
    </w:p>
    <w:p w14:paraId="1CC05806" w14:textId="4C6F7C94" w:rsidR="00D748BF" w:rsidRPr="0077159C" w:rsidRDefault="003F21D2" w:rsidP="00D748BF">
      <w:pPr>
        <w:rPr>
          <w:rFonts w:cs="Arial"/>
          <w:szCs w:val="22"/>
        </w:rPr>
      </w:pPr>
      <w:r>
        <w:t xml:space="preserve">This section provides a summary of </w:t>
      </w:r>
      <w:r w:rsidR="00D748BF">
        <w:t>inputs and methods used from the Database of Energy Efficient Resources (</w:t>
      </w:r>
      <w:r>
        <w:t>DEER</w:t>
      </w:r>
      <w:r w:rsidR="00D748BF">
        <w:t>)</w:t>
      </w:r>
      <w:r>
        <w:t>, and the rationale for inputs and methods that are not DEER-based.</w:t>
      </w:r>
      <w:r w:rsidR="00D748BF">
        <w:t xml:space="preserve"> </w:t>
      </w:r>
    </w:p>
    <w:p w14:paraId="756C62FB" w14:textId="1DD569A9" w:rsidR="00EA057C" w:rsidRPr="00920905" w:rsidRDefault="00EA057C" w:rsidP="00B809CE">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EA057C" w:rsidRPr="00500C4E" w14:paraId="33003020" w14:textId="77777777" w:rsidTr="00EA057C">
        <w:trPr>
          <w:trHeight w:val="20"/>
        </w:trPr>
        <w:tc>
          <w:tcPr>
            <w:tcW w:w="1730" w:type="pct"/>
          </w:tcPr>
          <w:p w14:paraId="1F2D360A" w14:textId="77777777" w:rsidR="00EA057C" w:rsidRPr="00EA057C" w:rsidRDefault="00EA057C" w:rsidP="00EA057C">
            <w:pPr>
              <w:keepNext/>
              <w:keepLines/>
              <w:spacing w:before="20" w:after="20"/>
              <w:rPr>
                <w:rFonts w:cs="Arial"/>
                <w:sz w:val="20"/>
                <w:szCs w:val="20"/>
              </w:rPr>
            </w:pPr>
            <w:r w:rsidRPr="00EA057C">
              <w:rPr>
                <w:rFonts w:cs="Arial"/>
                <w:sz w:val="20"/>
                <w:szCs w:val="20"/>
              </w:rPr>
              <w:t>Modified DEER methodology</w:t>
            </w:r>
          </w:p>
        </w:tc>
        <w:tc>
          <w:tcPr>
            <w:tcW w:w="3270" w:type="pct"/>
          </w:tcPr>
          <w:p w14:paraId="247EE411" w14:textId="06881687" w:rsidR="00EA057C" w:rsidRPr="00B96E30" w:rsidRDefault="00605571" w:rsidP="00EA057C">
            <w:pPr>
              <w:keepNext/>
              <w:keepLines/>
              <w:spacing w:before="20" w:after="20"/>
              <w:rPr>
                <w:rFonts w:cs="Arial"/>
                <w:sz w:val="20"/>
                <w:szCs w:val="20"/>
              </w:rPr>
            </w:pPr>
            <w:r>
              <w:rPr>
                <w:rFonts w:cs="Arial"/>
                <w:sz w:val="20"/>
                <w:szCs w:val="20"/>
              </w:rPr>
              <w:t>No</w:t>
            </w:r>
          </w:p>
        </w:tc>
      </w:tr>
      <w:tr w:rsidR="00EA057C" w:rsidRPr="00500C4E" w14:paraId="507422EA" w14:textId="77777777" w:rsidTr="00EA057C">
        <w:trPr>
          <w:trHeight w:val="20"/>
        </w:trPr>
        <w:tc>
          <w:tcPr>
            <w:tcW w:w="1730" w:type="pct"/>
          </w:tcPr>
          <w:p w14:paraId="29430E33" w14:textId="77777777" w:rsidR="00EA057C" w:rsidRPr="00EA057C" w:rsidRDefault="00EA057C"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5A54D514" w:rsidR="00EA057C" w:rsidRPr="00B96E30" w:rsidRDefault="00605571" w:rsidP="00EA057C">
            <w:pPr>
              <w:keepNext/>
              <w:keepLines/>
              <w:spacing w:before="20" w:after="20"/>
              <w:rPr>
                <w:rFonts w:cs="Arial"/>
                <w:sz w:val="20"/>
                <w:szCs w:val="20"/>
              </w:rPr>
            </w:pPr>
            <w:r>
              <w:rPr>
                <w:rFonts w:cs="Arial"/>
                <w:sz w:val="20"/>
                <w:szCs w:val="20"/>
              </w:rPr>
              <w:t>No</w:t>
            </w:r>
          </w:p>
        </w:tc>
      </w:tr>
      <w:tr w:rsidR="00EA057C" w:rsidRPr="00500C4E" w14:paraId="335CDE40" w14:textId="77777777" w:rsidTr="00EA057C">
        <w:trPr>
          <w:trHeight w:val="20"/>
        </w:trPr>
        <w:tc>
          <w:tcPr>
            <w:tcW w:w="1730" w:type="pct"/>
          </w:tcPr>
          <w:p w14:paraId="126C3B42" w14:textId="77777777" w:rsidR="00EA057C" w:rsidRPr="00EA057C" w:rsidRDefault="00EA057C"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39F2E19F"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1F8399E1" w14:textId="77777777" w:rsidTr="00EA057C">
        <w:trPr>
          <w:trHeight w:val="20"/>
        </w:trPr>
        <w:tc>
          <w:tcPr>
            <w:tcW w:w="1730" w:type="pct"/>
          </w:tcPr>
          <w:p w14:paraId="0CC701E3"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591247E2"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663742C6" w14:textId="77777777" w:rsidTr="00EA057C">
        <w:trPr>
          <w:trHeight w:val="20"/>
        </w:trPr>
        <w:tc>
          <w:tcPr>
            <w:tcW w:w="1730" w:type="pct"/>
          </w:tcPr>
          <w:p w14:paraId="16B2FDAB" w14:textId="77777777" w:rsidR="00EA057C" w:rsidRPr="00EA057C" w:rsidRDefault="00EA057C"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3093DA86"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424F1325" w14:textId="77777777" w:rsidTr="00EA057C">
        <w:trPr>
          <w:trHeight w:val="20"/>
        </w:trPr>
        <w:tc>
          <w:tcPr>
            <w:tcW w:w="1730" w:type="pct"/>
          </w:tcPr>
          <w:p w14:paraId="71098DDA" w14:textId="77777777" w:rsidR="00EA057C" w:rsidRPr="00EA057C" w:rsidRDefault="00EA057C"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02E8385D"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0B93AD47" w14:textId="77777777" w:rsidTr="00EA057C">
        <w:trPr>
          <w:trHeight w:val="20"/>
        </w:trPr>
        <w:tc>
          <w:tcPr>
            <w:tcW w:w="1730" w:type="pct"/>
          </w:tcPr>
          <w:p w14:paraId="6E9E484F" w14:textId="77777777" w:rsidR="00EA057C" w:rsidRPr="00EA057C" w:rsidRDefault="00EA057C"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2A38C7BF" w:rsidR="00EA057C" w:rsidRPr="00B96E30" w:rsidDel="00505CEC" w:rsidRDefault="00DC6C69" w:rsidP="00EA057C">
            <w:pPr>
              <w:keepNext/>
              <w:keepLines/>
              <w:spacing w:before="20" w:after="20"/>
              <w:rPr>
                <w:rFonts w:cs="Arial"/>
                <w:sz w:val="20"/>
                <w:szCs w:val="20"/>
              </w:rPr>
            </w:pPr>
            <w:r>
              <w:rPr>
                <w:rFonts w:cs="Arial"/>
                <w:sz w:val="20"/>
                <w:szCs w:val="20"/>
              </w:rPr>
              <w:t>No</w:t>
            </w:r>
          </w:p>
        </w:tc>
      </w:tr>
      <w:tr w:rsidR="00EA057C" w:rsidRPr="00500C4E" w14:paraId="2CFDE9D3" w14:textId="77777777" w:rsidTr="00EA057C">
        <w:trPr>
          <w:trHeight w:val="180"/>
        </w:trPr>
        <w:tc>
          <w:tcPr>
            <w:tcW w:w="1730" w:type="pct"/>
          </w:tcPr>
          <w:p w14:paraId="3B6B3E22" w14:textId="77777777" w:rsidR="00EA057C" w:rsidRPr="00EA057C" w:rsidRDefault="00EA057C"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610108EB" w:rsidR="00EA057C" w:rsidRPr="00B96E30" w:rsidRDefault="00DC6C69" w:rsidP="00EA057C">
            <w:pPr>
              <w:keepNext/>
              <w:keepLines/>
              <w:spacing w:before="20" w:after="20"/>
              <w:rPr>
                <w:rFonts w:cs="Arial"/>
                <w:sz w:val="20"/>
                <w:szCs w:val="20"/>
              </w:rPr>
            </w:pPr>
            <w:r>
              <w:rPr>
                <w:rFonts w:cs="Arial"/>
                <w:sz w:val="20"/>
                <w:szCs w:val="20"/>
              </w:rPr>
              <w:t>No</w:t>
            </w:r>
          </w:p>
        </w:tc>
      </w:tr>
      <w:tr w:rsidR="00EA057C" w:rsidRPr="00500C4E" w14:paraId="3B7464D7" w14:textId="77777777" w:rsidTr="00EA057C">
        <w:trPr>
          <w:trHeight w:val="20"/>
        </w:trPr>
        <w:tc>
          <w:tcPr>
            <w:tcW w:w="1730" w:type="pct"/>
          </w:tcPr>
          <w:p w14:paraId="24000A76" w14:textId="77777777" w:rsidR="00EA057C" w:rsidRPr="00EA057C" w:rsidRDefault="00EA057C"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50485452" w:rsidR="00EA057C" w:rsidRPr="00B96E30" w:rsidRDefault="00605571" w:rsidP="00EA057C">
            <w:pPr>
              <w:keepNext/>
              <w:keepLines/>
              <w:spacing w:before="20" w:after="20"/>
              <w:rPr>
                <w:rFonts w:cs="Arial"/>
                <w:sz w:val="20"/>
                <w:szCs w:val="20"/>
              </w:rPr>
            </w:pPr>
            <w:r>
              <w:rPr>
                <w:rFonts w:cs="Arial"/>
                <w:sz w:val="20"/>
                <w:szCs w:val="20"/>
              </w:rPr>
              <w:t>N/A</w:t>
            </w:r>
          </w:p>
        </w:tc>
      </w:tr>
      <w:tr w:rsidR="00EA057C" w:rsidRPr="00500C4E" w14:paraId="4A7EE859" w14:textId="77777777" w:rsidTr="00EA057C">
        <w:trPr>
          <w:trHeight w:val="20"/>
        </w:trPr>
        <w:tc>
          <w:tcPr>
            <w:tcW w:w="1730" w:type="pct"/>
          </w:tcPr>
          <w:p w14:paraId="7B4D686A" w14:textId="77777777" w:rsidR="00EA057C" w:rsidRPr="00EA057C" w:rsidRDefault="00EA057C"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63ABA251" w14:textId="102F756D" w:rsidR="00EA057C" w:rsidRPr="00B96E30" w:rsidRDefault="004831FB" w:rsidP="00EA057C">
            <w:pPr>
              <w:keepNext/>
              <w:keepLines/>
              <w:spacing w:before="20" w:after="20"/>
              <w:rPr>
                <w:rFonts w:cs="Arial"/>
                <w:sz w:val="20"/>
                <w:szCs w:val="20"/>
              </w:rPr>
            </w:pPr>
            <w:r>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367BC8C2" w:rsidR="00EA057C" w:rsidRPr="00EA057C" w:rsidRDefault="005A74DC" w:rsidP="005A74DC">
            <w:pPr>
              <w:keepNext/>
              <w:keepLines/>
              <w:spacing w:before="20" w:after="20"/>
              <w:rPr>
                <w:rFonts w:cs="Arial"/>
                <w:sz w:val="20"/>
                <w:szCs w:val="20"/>
              </w:rPr>
            </w:pPr>
            <w:r>
              <w:rPr>
                <w:rFonts w:cs="Arial"/>
                <w:sz w:val="20"/>
                <w:szCs w:val="20"/>
              </w:rPr>
              <w:t xml:space="preserve">Source: </w:t>
            </w:r>
            <w:r w:rsidR="00C65FE5">
              <w:rPr>
                <w:rFonts w:cs="Arial"/>
                <w:sz w:val="20"/>
                <w:szCs w:val="20"/>
              </w:rPr>
              <w:t>DEER20</w:t>
            </w:r>
            <w:r w:rsidR="00605571">
              <w:rPr>
                <w:rFonts w:cs="Arial"/>
                <w:sz w:val="20"/>
                <w:szCs w:val="20"/>
              </w:rPr>
              <w:t>20</w:t>
            </w:r>
            <w:r>
              <w:rPr>
                <w:rFonts w:cs="Arial"/>
                <w:sz w:val="20"/>
                <w:szCs w:val="20"/>
              </w:rPr>
              <w:t xml:space="preserve">. The NTG of </w:t>
            </w:r>
            <w:r w:rsidR="00C65FE5">
              <w:rPr>
                <w:rFonts w:cs="Arial"/>
                <w:sz w:val="20"/>
                <w:szCs w:val="20"/>
              </w:rPr>
              <w:t>0.</w:t>
            </w:r>
            <w:r w:rsidR="00D63331">
              <w:rPr>
                <w:rFonts w:cs="Arial"/>
                <w:sz w:val="20"/>
                <w:szCs w:val="20"/>
              </w:rPr>
              <w:t>55</w:t>
            </w:r>
            <w:r>
              <w:rPr>
                <w:rFonts w:cs="Arial"/>
                <w:sz w:val="20"/>
                <w:szCs w:val="20"/>
              </w:rPr>
              <w:t xml:space="preserve"> is associated with NTG ID: </w:t>
            </w:r>
            <w:r w:rsidR="00625D89">
              <w:rPr>
                <w:rFonts w:cs="Arial"/>
                <w:i/>
                <w:sz w:val="20"/>
                <w:szCs w:val="20"/>
              </w:rPr>
              <w:t>Res-</w:t>
            </w:r>
            <w:r w:rsidR="009F1E20">
              <w:rPr>
                <w:rFonts w:cs="Arial"/>
                <w:i/>
                <w:sz w:val="20"/>
                <w:szCs w:val="20"/>
              </w:rPr>
              <w:t>Default&gt;2</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2B8A08F3" w:rsidR="00EA057C" w:rsidRPr="00EA057C" w:rsidRDefault="005A74DC" w:rsidP="005A74DC">
            <w:pPr>
              <w:keepNext/>
              <w:keepLines/>
              <w:spacing w:before="20" w:after="20"/>
              <w:rPr>
                <w:rFonts w:cs="Arial"/>
                <w:sz w:val="20"/>
                <w:szCs w:val="20"/>
              </w:rPr>
            </w:pPr>
            <w:r>
              <w:rPr>
                <w:rFonts w:cs="Arial"/>
                <w:sz w:val="20"/>
                <w:szCs w:val="20"/>
              </w:rPr>
              <w:t xml:space="preserve">Source: </w:t>
            </w:r>
            <w:r w:rsidR="009F1E20">
              <w:rPr>
                <w:rFonts w:cs="Arial"/>
                <w:sz w:val="20"/>
                <w:szCs w:val="20"/>
              </w:rPr>
              <w:t>DEER</w:t>
            </w:r>
            <w:r>
              <w:rPr>
                <w:rFonts w:cs="Arial"/>
                <w:sz w:val="20"/>
                <w:szCs w:val="20"/>
              </w:rPr>
              <w:t xml:space="preserve">. The GSIA of </w:t>
            </w:r>
            <w:r w:rsidR="009F1E20">
              <w:rPr>
                <w:rFonts w:cs="Arial"/>
                <w:sz w:val="20"/>
                <w:szCs w:val="20"/>
              </w:rPr>
              <w:t>1.0</w:t>
            </w:r>
            <w:r>
              <w:rPr>
                <w:rFonts w:cs="Arial"/>
                <w:sz w:val="20"/>
                <w:szCs w:val="20"/>
              </w:rPr>
              <w:t xml:space="preserve"> is associated with GSIA ID: </w:t>
            </w:r>
            <w:r w:rsidR="009F1E20">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5BD9C961" w14:textId="65DE9004" w:rsidR="00EA057C" w:rsidRPr="00EA057C" w:rsidRDefault="005A74DC" w:rsidP="00EA057C">
            <w:pPr>
              <w:keepNext/>
              <w:keepLines/>
              <w:spacing w:before="20" w:after="20"/>
              <w:rPr>
                <w:rFonts w:cs="Arial"/>
                <w:sz w:val="20"/>
                <w:szCs w:val="20"/>
              </w:rPr>
            </w:pPr>
            <w:r>
              <w:rPr>
                <w:rFonts w:cs="Arial"/>
                <w:sz w:val="20"/>
                <w:szCs w:val="20"/>
              </w:rPr>
              <w:t xml:space="preserve">Source: </w:t>
            </w:r>
            <w:r w:rsidR="005C7A2F">
              <w:rPr>
                <w:rFonts w:cs="Arial"/>
                <w:sz w:val="20"/>
                <w:szCs w:val="20"/>
              </w:rPr>
              <w:t>DEER20</w:t>
            </w:r>
            <w:r w:rsidR="00605571">
              <w:rPr>
                <w:rFonts w:cs="Arial"/>
                <w:sz w:val="20"/>
                <w:szCs w:val="20"/>
              </w:rPr>
              <w:t>20</w:t>
            </w:r>
            <w:r>
              <w:rPr>
                <w:rFonts w:cs="Arial"/>
                <w:sz w:val="20"/>
                <w:szCs w:val="20"/>
              </w:rPr>
              <w:t xml:space="preserve">. The value of </w:t>
            </w:r>
            <w:r w:rsidR="004831FB">
              <w:rPr>
                <w:rFonts w:cs="Arial"/>
                <w:sz w:val="20"/>
                <w:szCs w:val="20"/>
              </w:rPr>
              <w:t>15</w:t>
            </w:r>
            <w:r>
              <w:rPr>
                <w:rFonts w:cs="Arial"/>
                <w:sz w:val="20"/>
                <w:szCs w:val="20"/>
              </w:rPr>
              <w:t xml:space="preserve"> years is associated with EUL ID: </w:t>
            </w:r>
            <w:r w:rsidR="00DC6C69" w:rsidRPr="00625D89">
              <w:rPr>
                <w:i/>
                <w:iCs/>
                <w:sz w:val="20"/>
                <w:szCs w:val="20"/>
              </w:rPr>
              <w:t>SHW-EMS</w:t>
            </w:r>
            <w:r w:rsidR="0095396E">
              <w:rPr>
                <w:rFonts w:cs="Arial"/>
                <w:sz w:val="20"/>
                <w:szCs w:val="20"/>
              </w:rPr>
              <w:t xml:space="preserve"> </w:t>
            </w:r>
          </w:p>
        </w:tc>
      </w:tr>
    </w:tbl>
    <w:p w14:paraId="3D440479" w14:textId="77777777" w:rsidR="00EA057C" w:rsidRDefault="00EA057C" w:rsidP="004142EF">
      <w:bookmarkStart w:id="86" w:name="_Hlk516051142"/>
    </w:p>
    <w:p w14:paraId="59542C0D" w14:textId="77777777" w:rsidR="007D230B" w:rsidRDefault="007D230B" w:rsidP="00B96E30">
      <w:pPr>
        <w:pStyle w:val="eTRMHeading3"/>
        <w:keepNext w:val="0"/>
        <w:keepLines w:val="0"/>
      </w:pPr>
      <w:bookmarkStart w:id="87" w:name="_Toc486490866"/>
      <w:bookmarkStart w:id="88" w:name="_Toc486580937"/>
      <w:bookmarkStart w:id="89" w:name="_Toc11253789"/>
      <w:bookmarkStart w:id="90" w:name="_Hlk516047558"/>
      <w:r w:rsidRPr="004B06E3">
        <w:t>Revision History</w:t>
      </w:r>
      <w:bookmarkEnd w:id="87"/>
      <w:bookmarkEnd w:id="88"/>
      <w:bookmarkEnd w:id="89"/>
    </w:p>
    <w:p w14:paraId="3661732B" w14:textId="302EF7B9" w:rsidR="00CA1CB3" w:rsidRDefault="00742F88" w:rsidP="00B809CE">
      <w:pPr>
        <w:pStyle w:val="Caption"/>
      </w:pPr>
      <w:bookmarkStart w:id="91"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500C4E" w14:paraId="1904D58C" w14:textId="6E96D877" w:rsidTr="00625D89">
        <w:trPr>
          <w:trHeight w:val="20"/>
        </w:trPr>
        <w:tc>
          <w:tcPr>
            <w:tcW w:w="503" w:type="pct"/>
            <w:shd w:val="clear" w:color="auto" w:fill="F2F2F2" w:themeFill="background1" w:themeFillShade="F2"/>
            <w:vAlign w:val="bottom"/>
          </w:tcPr>
          <w:p w14:paraId="5365A71C" w14:textId="5EB86E00" w:rsidR="00CA1CB3" w:rsidRPr="00EA057C" w:rsidRDefault="00CA1CB3" w:rsidP="00B96E30">
            <w:pPr>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B96E30">
            <w:pPr>
              <w:spacing w:before="20" w:after="20"/>
              <w:rPr>
                <w:rFonts w:cs="Arial"/>
                <w:b/>
                <w:sz w:val="20"/>
                <w:szCs w:val="20"/>
              </w:rPr>
            </w:pPr>
            <w:r>
              <w:rPr>
                <w:rFonts w:cs="Arial"/>
                <w:b/>
                <w:sz w:val="20"/>
                <w:szCs w:val="20"/>
              </w:rPr>
              <w:t>Date</w:t>
            </w:r>
          </w:p>
        </w:tc>
        <w:tc>
          <w:tcPr>
            <w:tcW w:w="1130" w:type="pct"/>
            <w:shd w:val="clear" w:color="auto" w:fill="F2F2F2" w:themeFill="background1" w:themeFillShade="F2"/>
            <w:vAlign w:val="bottom"/>
          </w:tcPr>
          <w:p w14:paraId="10DC2402" w14:textId="63223EB6" w:rsidR="00CA1CB3" w:rsidRDefault="00CA1CB3" w:rsidP="00B96E30">
            <w:pPr>
              <w:spacing w:before="20" w:after="20"/>
              <w:rPr>
                <w:rFonts w:cs="Arial"/>
                <w:b/>
                <w:sz w:val="20"/>
                <w:szCs w:val="20"/>
              </w:rPr>
            </w:pPr>
            <w:r>
              <w:rPr>
                <w:rFonts w:cs="Arial"/>
                <w:b/>
                <w:sz w:val="20"/>
                <w:szCs w:val="20"/>
              </w:rPr>
              <w:t>Primary Author, Title, Organization</w:t>
            </w:r>
          </w:p>
        </w:tc>
        <w:tc>
          <w:tcPr>
            <w:tcW w:w="2645" w:type="pct"/>
            <w:shd w:val="clear" w:color="auto" w:fill="F2F2F2" w:themeFill="background1" w:themeFillShade="F2"/>
            <w:vAlign w:val="bottom"/>
          </w:tcPr>
          <w:p w14:paraId="27C17E65" w14:textId="222C519C" w:rsidR="00CA1CB3" w:rsidRDefault="00CA1CB3" w:rsidP="00B96E30">
            <w:pPr>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B96E30">
            <w:pPr>
              <w:spacing w:before="20" w:after="20"/>
              <w:rPr>
                <w:rFonts w:cs="Arial"/>
                <w:b/>
                <w:sz w:val="20"/>
                <w:szCs w:val="20"/>
              </w:rPr>
            </w:pPr>
            <w:r>
              <w:rPr>
                <w:rFonts w:cs="Arial"/>
                <w:b/>
                <w:sz w:val="20"/>
                <w:szCs w:val="20"/>
              </w:rPr>
              <w:t>Effective Date and Approved By</w:t>
            </w:r>
          </w:p>
        </w:tc>
      </w:tr>
      <w:tr w:rsidR="00625D89" w:rsidRPr="00CA1CB3" w14:paraId="0A9DBD7D" w14:textId="04A29668" w:rsidTr="00625D89">
        <w:trPr>
          <w:trHeight w:val="1160"/>
        </w:trPr>
        <w:tc>
          <w:tcPr>
            <w:tcW w:w="503" w:type="pct"/>
            <w:vMerge w:val="restart"/>
          </w:tcPr>
          <w:p w14:paraId="38788C98" w14:textId="67FDA738" w:rsidR="00625D89" w:rsidRPr="001D01EF" w:rsidRDefault="00625D89" w:rsidP="00B96E30">
            <w:pPr>
              <w:spacing w:before="20" w:after="20"/>
              <w:rPr>
                <w:rFonts w:cs="Arial"/>
                <w:sz w:val="20"/>
                <w:szCs w:val="20"/>
              </w:rPr>
            </w:pPr>
            <w:r w:rsidRPr="001D01EF">
              <w:rPr>
                <w:rFonts w:cs="Arial"/>
                <w:sz w:val="20"/>
                <w:szCs w:val="20"/>
              </w:rPr>
              <w:t>0</w:t>
            </w:r>
            <w:r>
              <w:rPr>
                <w:rFonts w:cs="Arial"/>
                <w:sz w:val="20"/>
                <w:szCs w:val="20"/>
              </w:rPr>
              <w:t>1</w:t>
            </w:r>
          </w:p>
        </w:tc>
        <w:tc>
          <w:tcPr>
            <w:tcW w:w="722" w:type="pct"/>
          </w:tcPr>
          <w:p w14:paraId="03B67B1D" w14:textId="689EEA53" w:rsidR="00625D89" w:rsidRPr="001D01EF" w:rsidRDefault="00625D89" w:rsidP="00B96E30">
            <w:pPr>
              <w:spacing w:before="20" w:after="20"/>
              <w:rPr>
                <w:rFonts w:cs="Arial"/>
                <w:sz w:val="20"/>
                <w:szCs w:val="20"/>
              </w:rPr>
            </w:pPr>
            <w:r w:rsidRPr="001D01EF">
              <w:rPr>
                <w:rFonts w:cs="Arial"/>
                <w:sz w:val="20"/>
                <w:szCs w:val="20"/>
              </w:rPr>
              <w:t>0</w:t>
            </w:r>
            <w:r>
              <w:rPr>
                <w:rFonts w:cs="Arial"/>
                <w:sz w:val="20"/>
                <w:szCs w:val="20"/>
              </w:rPr>
              <w:t>5</w:t>
            </w:r>
            <w:r w:rsidRPr="001D01EF">
              <w:rPr>
                <w:rFonts w:cs="Arial"/>
                <w:sz w:val="20"/>
                <w:szCs w:val="20"/>
              </w:rPr>
              <w:t>/</w:t>
            </w:r>
            <w:r>
              <w:rPr>
                <w:rFonts w:cs="Arial"/>
                <w:sz w:val="20"/>
                <w:szCs w:val="20"/>
              </w:rPr>
              <w:t>20</w:t>
            </w:r>
            <w:r w:rsidRPr="001D01EF">
              <w:rPr>
                <w:rFonts w:cs="Arial"/>
                <w:sz w:val="20"/>
                <w:szCs w:val="20"/>
              </w:rPr>
              <w:t>/201</w:t>
            </w:r>
            <w:r>
              <w:rPr>
                <w:rFonts w:cs="Arial"/>
                <w:sz w:val="20"/>
                <w:szCs w:val="20"/>
              </w:rPr>
              <w:t>9</w:t>
            </w:r>
          </w:p>
        </w:tc>
        <w:tc>
          <w:tcPr>
            <w:tcW w:w="1130" w:type="pct"/>
          </w:tcPr>
          <w:p w14:paraId="24160CE8" w14:textId="4FDA278D" w:rsidR="00625D89" w:rsidRDefault="00625D89" w:rsidP="00B96E30">
            <w:pPr>
              <w:spacing w:before="20" w:after="20"/>
              <w:rPr>
                <w:rFonts w:cs="Arial"/>
                <w:sz w:val="20"/>
                <w:szCs w:val="20"/>
              </w:rPr>
            </w:pPr>
            <w:r>
              <w:rPr>
                <w:rFonts w:cs="Arial"/>
                <w:sz w:val="20"/>
                <w:szCs w:val="20"/>
              </w:rPr>
              <w:t xml:space="preserve">Raad Bashar, </w:t>
            </w:r>
            <w:r>
              <w:rPr>
                <w:rFonts w:cs="Arial"/>
                <w:sz w:val="20"/>
                <w:szCs w:val="20"/>
              </w:rPr>
              <w:br/>
              <w:t>SoCalGas</w:t>
            </w:r>
          </w:p>
          <w:p w14:paraId="32D154D7" w14:textId="0F552FA6" w:rsidR="00625D89" w:rsidRPr="001D01EF" w:rsidRDefault="00625D89" w:rsidP="00B96E30">
            <w:pPr>
              <w:spacing w:before="20" w:after="20"/>
              <w:rPr>
                <w:rFonts w:cs="Arial"/>
                <w:sz w:val="20"/>
                <w:szCs w:val="20"/>
              </w:rPr>
            </w:pPr>
            <w:r w:rsidRPr="004831FB">
              <w:rPr>
                <w:rFonts w:cs="Arial"/>
                <w:sz w:val="20"/>
                <w:szCs w:val="20"/>
              </w:rPr>
              <w:t>Bo White &amp; Marc Esser, NegaWatt Consulting</w:t>
            </w:r>
          </w:p>
        </w:tc>
        <w:tc>
          <w:tcPr>
            <w:tcW w:w="2645" w:type="pct"/>
          </w:tcPr>
          <w:p w14:paraId="0C93091A" w14:textId="77777777" w:rsidR="00625D89" w:rsidRPr="001D01EF" w:rsidRDefault="00625D89" w:rsidP="00B96E30">
            <w:pPr>
              <w:spacing w:before="20" w:after="20"/>
              <w:rPr>
                <w:rFonts w:cs="Arial"/>
                <w:sz w:val="20"/>
                <w:szCs w:val="20"/>
              </w:rPr>
            </w:pPr>
            <w:r w:rsidRPr="001D01EF">
              <w:rPr>
                <w:rFonts w:cs="Arial"/>
                <w:sz w:val="20"/>
                <w:szCs w:val="20"/>
              </w:rPr>
              <w:t>Draft of consolidated text for this statewide measure is based upon:</w:t>
            </w:r>
          </w:p>
          <w:p w14:paraId="6C70C36F" w14:textId="52119E76" w:rsidR="00625D89" w:rsidRPr="005B2BA2" w:rsidRDefault="00625D89" w:rsidP="004831FB">
            <w:pPr>
              <w:spacing w:before="20" w:after="20"/>
              <w:rPr>
                <w:rFonts w:cs="Arial"/>
                <w:sz w:val="20"/>
                <w:szCs w:val="20"/>
              </w:rPr>
            </w:pPr>
            <w:r w:rsidRPr="005B2BA2">
              <w:rPr>
                <w:rFonts w:cs="Arial"/>
                <w:sz w:val="20"/>
                <w:szCs w:val="20"/>
              </w:rPr>
              <w:t>WPSCGREWH180305A, Revision 0 (April 17, 2018)</w:t>
            </w:r>
          </w:p>
        </w:tc>
      </w:tr>
      <w:tr w:rsidR="00625D89" w:rsidRPr="00CA1CB3" w14:paraId="0CEEA360" w14:textId="77777777" w:rsidTr="005B2BA2">
        <w:trPr>
          <w:trHeight w:val="818"/>
        </w:trPr>
        <w:tc>
          <w:tcPr>
            <w:tcW w:w="503" w:type="pct"/>
            <w:vMerge/>
          </w:tcPr>
          <w:p w14:paraId="4F85567F" w14:textId="77777777" w:rsidR="00625D89" w:rsidRPr="001D01EF" w:rsidRDefault="00625D89" w:rsidP="00B96E30">
            <w:pPr>
              <w:spacing w:before="20" w:after="20"/>
              <w:rPr>
                <w:rFonts w:cs="Arial"/>
                <w:sz w:val="20"/>
                <w:szCs w:val="20"/>
              </w:rPr>
            </w:pPr>
          </w:p>
        </w:tc>
        <w:tc>
          <w:tcPr>
            <w:tcW w:w="722" w:type="pct"/>
          </w:tcPr>
          <w:p w14:paraId="49541CFA" w14:textId="329AE3F1" w:rsidR="00625D89" w:rsidRPr="001D01EF" w:rsidRDefault="00625D89" w:rsidP="00B96E30">
            <w:pPr>
              <w:spacing w:before="20" w:after="20"/>
              <w:rPr>
                <w:rFonts w:cs="Arial"/>
                <w:sz w:val="20"/>
                <w:szCs w:val="20"/>
              </w:rPr>
            </w:pPr>
            <w:r>
              <w:rPr>
                <w:rFonts w:cs="Arial"/>
                <w:sz w:val="20"/>
                <w:szCs w:val="20"/>
              </w:rPr>
              <w:t>06/12/2019</w:t>
            </w:r>
          </w:p>
        </w:tc>
        <w:tc>
          <w:tcPr>
            <w:tcW w:w="1130" w:type="pct"/>
          </w:tcPr>
          <w:p w14:paraId="5DB60560" w14:textId="77777777" w:rsidR="00625D89" w:rsidRDefault="00625D89" w:rsidP="009C2046">
            <w:pPr>
              <w:spacing w:before="20" w:after="20"/>
              <w:rPr>
                <w:rFonts w:cs="Arial"/>
                <w:sz w:val="20"/>
                <w:szCs w:val="20"/>
              </w:rPr>
            </w:pPr>
            <w:r>
              <w:rPr>
                <w:rFonts w:cs="Arial"/>
                <w:sz w:val="20"/>
                <w:szCs w:val="20"/>
              </w:rPr>
              <w:t xml:space="preserve">Raad Bashar, </w:t>
            </w:r>
            <w:r>
              <w:rPr>
                <w:rFonts w:cs="Arial"/>
                <w:sz w:val="20"/>
                <w:szCs w:val="20"/>
              </w:rPr>
              <w:br/>
              <w:t>SoCalGas.</w:t>
            </w:r>
          </w:p>
          <w:p w14:paraId="3AE890AA" w14:textId="44A69A66" w:rsidR="00625D89" w:rsidRDefault="00625D89" w:rsidP="00B96E30">
            <w:pPr>
              <w:spacing w:before="20" w:after="20"/>
              <w:rPr>
                <w:rFonts w:cs="Arial"/>
                <w:sz w:val="20"/>
                <w:szCs w:val="20"/>
              </w:rPr>
            </w:pPr>
            <w:r>
              <w:rPr>
                <w:rFonts w:cs="Arial"/>
                <w:sz w:val="20"/>
                <w:szCs w:val="20"/>
              </w:rPr>
              <w:t>Jennifer Holmes</w:t>
            </w:r>
            <w:r>
              <w:rPr>
                <w:rFonts w:cs="Arial"/>
                <w:sz w:val="20"/>
                <w:szCs w:val="20"/>
              </w:rPr>
              <w:br/>
              <w:t>Cal TF Staff</w:t>
            </w:r>
          </w:p>
        </w:tc>
        <w:tc>
          <w:tcPr>
            <w:tcW w:w="2645" w:type="pct"/>
          </w:tcPr>
          <w:p w14:paraId="0702AE8A" w14:textId="7C6D5912" w:rsidR="00625D89" w:rsidRPr="001D01EF" w:rsidRDefault="00625D89" w:rsidP="00B96E30">
            <w:pPr>
              <w:spacing w:before="20" w:after="20"/>
              <w:rPr>
                <w:rFonts w:cs="Arial"/>
                <w:sz w:val="20"/>
                <w:szCs w:val="20"/>
              </w:rPr>
            </w:pPr>
            <w:r>
              <w:rPr>
                <w:rFonts w:cs="Arial"/>
                <w:sz w:val="20"/>
                <w:szCs w:val="20"/>
              </w:rPr>
              <w:t>Revisions for submittal of version 01</w:t>
            </w:r>
          </w:p>
        </w:tc>
      </w:tr>
      <w:tr w:rsidR="00625D89" w:rsidRPr="00CA1CB3" w14:paraId="37C8D64F" w14:textId="77777777" w:rsidTr="005B2BA2">
        <w:trPr>
          <w:trHeight w:val="467"/>
        </w:trPr>
        <w:tc>
          <w:tcPr>
            <w:tcW w:w="503" w:type="pct"/>
          </w:tcPr>
          <w:p w14:paraId="2D8CD927" w14:textId="57E20D15" w:rsidR="00625D89" w:rsidRPr="001D01EF" w:rsidRDefault="00625D89" w:rsidP="00B96E30">
            <w:pPr>
              <w:spacing w:before="20" w:after="20"/>
              <w:rPr>
                <w:rFonts w:cs="Arial"/>
                <w:sz w:val="20"/>
                <w:szCs w:val="20"/>
              </w:rPr>
            </w:pPr>
            <w:r>
              <w:rPr>
                <w:rFonts w:cs="Arial"/>
                <w:sz w:val="20"/>
                <w:szCs w:val="20"/>
              </w:rPr>
              <w:t>02</w:t>
            </w:r>
          </w:p>
        </w:tc>
        <w:tc>
          <w:tcPr>
            <w:tcW w:w="722" w:type="pct"/>
          </w:tcPr>
          <w:p w14:paraId="0F737E05" w14:textId="45A6FBB7" w:rsidR="00625D89" w:rsidRDefault="00625D89" w:rsidP="00B96E30">
            <w:pPr>
              <w:spacing w:before="20" w:after="20"/>
              <w:rPr>
                <w:rFonts w:cs="Arial"/>
                <w:sz w:val="20"/>
                <w:szCs w:val="20"/>
              </w:rPr>
            </w:pPr>
            <w:r>
              <w:rPr>
                <w:rFonts w:cs="Arial"/>
                <w:sz w:val="20"/>
                <w:szCs w:val="20"/>
              </w:rPr>
              <w:t>0</w:t>
            </w:r>
            <w:r w:rsidR="00797793">
              <w:rPr>
                <w:rFonts w:cs="Arial"/>
                <w:sz w:val="20"/>
                <w:szCs w:val="20"/>
              </w:rPr>
              <w:t>5</w:t>
            </w:r>
            <w:r>
              <w:rPr>
                <w:rFonts w:cs="Arial"/>
                <w:sz w:val="20"/>
                <w:szCs w:val="20"/>
              </w:rPr>
              <w:t>/</w:t>
            </w:r>
            <w:r w:rsidR="00797793">
              <w:rPr>
                <w:rFonts w:cs="Arial"/>
                <w:sz w:val="20"/>
                <w:szCs w:val="20"/>
              </w:rPr>
              <w:t>1</w:t>
            </w:r>
            <w:r w:rsidR="003C0A98">
              <w:rPr>
                <w:rFonts w:cs="Arial"/>
                <w:sz w:val="20"/>
                <w:szCs w:val="20"/>
              </w:rPr>
              <w:t>4</w:t>
            </w:r>
            <w:r>
              <w:rPr>
                <w:rFonts w:cs="Arial"/>
                <w:sz w:val="20"/>
                <w:szCs w:val="20"/>
              </w:rPr>
              <w:t>/2021</w:t>
            </w:r>
          </w:p>
        </w:tc>
        <w:tc>
          <w:tcPr>
            <w:tcW w:w="1130" w:type="pct"/>
          </w:tcPr>
          <w:p w14:paraId="096A74B6" w14:textId="77777777" w:rsidR="00625D89" w:rsidRDefault="00625D89" w:rsidP="009C2046">
            <w:pPr>
              <w:spacing w:before="20" w:after="20"/>
              <w:rPr>
                <w:rFonts w:cs="Arial"/>
                <w:sz w:val="20"/>
                <w:szCs w:val="20"/>
              </w:rPr>
            </w:pPr>
            <w:r>
              <w:rPr>
                <w:rFonts w:cs="Arial"/>
                <w:sz w:val="20"/>
                <w:szCs w:val="20"/>
              </w:rPr>
              <w:t>Anders Danryd</w:t>
            </w:r>
            <w:r w:rsidR="005B2BA2">
              <w:rPr>
                <w:rFonts w:cs="Arial"/>
                <w:sz w:val="20"/>
                <w:szCs w:val="20"/>
              </w:rPr>
              <w:t>,</w:t>
            </w:r>
          </w:p>
          <w:p w14:paraId="5CB638EB" w14:textId="64534CB4" w:rsidR="005B2BA2" w:rsidRDefault="005B2BA2" w:rsidP="009C2046">
            <w:pPr>
              <w:spacing w:before="20" w:after="20"/>
              <w:rPr>
                <w:rFonts w:cs="Arial"/>
                <w:sz w:val="20"/>
                <w:szCs w:val="20"/>
              </w:rPr>
            </w:pPr>
            <w:r>
              <w:rPr>
                <w:rFonts w:cs="Arial"/>
                <w:sz w:val="20"/>
                <w:szCs w:val="20"/>
              </w:rPr>
              <w:t>SoCalGas</w:t>
            </w:r>
          </w:p>
        </w:tc>
        <w:tc>
          <w:tcPr>
            <w:tcW w:w="2645" w:type="pct"/>
          </w:tcPr>
          <w:p w14:paraId="55B26490" w14:textId="2C709C00" w:rsidR="00625D89" w:rsidRDefault="005B2BA2" w:rsidP="00B96E30">
            <w:pPr>
              <w:spacing w:before="20" w:after="20"/>
              <w:rPr>
                <w:rFonts w:cs="Arial"/>
                <w:sz w:val="20"/>
                <w:szCs w:val="20"/>
              </w:rPr>
            </w:pPr>
            <w:r w:rsidRPr="005B2BA2">
              <w:rPr>
                <w:rFonts w:cs="Arial"/>
                <w:sz w:val="20"/>
                <w:szCs w:val="20"/>
              </w:rPr>
              <w:t xml:space="preserve">Updated NTG Ratio from ET-Default to </w:t>
            </w:r>
            <w:r w:rsidR="007C6F76">
              <w:rPr>
                <w:rFonts w:cs="Arial"/>
                <w:sz w:val="20"/>
                <w:szCs w:val="20"/>
              </w:rPr>
              <w:t>Res</w:t>
            </w:r>
            <w:r w:rsidRPr="005B2BA2">
              <w:rPr>
                <w:rFonts w:cs="Arial"/>
                <w:sz w:val="20"/>
                <w:szCs w:val="20"/>
              </w:rPr>
              <w:t>-Default&gt;2, formatting changes, made calculations and sources easier to follow and more clearly labeled</w:t>
            </w:r>
          </w:p>
        </w:tc>
      </w:tr>
      <w:bookmarkEnd w:id="86"/>
      <w:bookmarkEnd w:id="90"/>
      <w:bookmarkEnd w:id="91"/>
    </w:tbl>
    <w:p w14:paraId="25B23A53" w14:textId="1B191A42" w:rsidR="009F0742" w:rsidRPr="009F0742" w:rsidRDefault="009F0742" w:rsidP="00AE15ED"/>
    <w:sectPr w:rsidR="009F0742" w:rsidRPr="009F0742"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56EEC" w14:textId="77777777" w:rsidR="007331D4" w:rsidRDefault="007331D4" w:rsidP="00A2690C">
      <w:r>
        <w:separator/>
      </w:r>
    </w:p>
    <w:p w14:paraId="6F9D0722" w14:textId="77777777" w:rsidR="007331D4" w:rsidRDefault="007331D4"/>
  </w:endnote>
  <w:endnote w:type="continuationSeparator" w:id="0">
    <w:p w14:paraId="6775AA74" w14:textId="77777777" w:rsidR="007331D4" w:rsidRDefault="007331D4" w:rsidP="00A2690C">
      <w:r>
        <w:continuationSeparator/>
      </w:r>
    </w:p>
    <w:p w14:paraId="28191F66" w14:textId="77777777" w:rsidR="007331D4" w:rsidRDefault="00733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0002EFF" w:usb1="C000247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8D06" w14:textId="77777777" w:rsidR="00193BD9" w:rsidRDefault="00193BD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1" name="Picture 2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193BD9" w:rsidRPr="00B837C1" w:rsidRDefault="00193BD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114B" w14:textId="77777777" w:rsidR="00193BD9" w:rsidRDefault="00193BD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2" name="Picture 2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193BD9" w:rsidRPr="00B837C1" w:rsidRDefault="00193BD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9099" w14:textId="77777777" w:rsidR="00193BD9" w:rsidRDefault="00193BD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24" name="Picture 2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193BD9" w:rsidRPr="005F505E" w:rsidRDefault="00193BD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1FD3" w14:textId="77777777" w:rsidR="007331D4" w:rsidRDefault="007331D4" w:rsidP="00A2690C">
      <w:r>
        <w:separator/>
      </w:r>
    </w:p>
    <w:p w14:paraId="39C2BB31" w14:textId="77777777" w:rsidR="007331D4" w:rsidRDefault="007331D4"/>
  </w:footnote>
  <w:footnote w:type="continuationSeparator" w:id="0">
    <w:p w14:paraId="140E213E" w14:textId="77777777" w:rsidR="007331D4" w:rsidRDefault="007331D4" w:rsidP="00A2690C">
      <w:r>
        <w:continuationSeparator/>
      </w:r>
    </w:p>
    <w:p w14:paraId="7D1E1452" w14:textId="77777777" w:rsidR="007331D4" w:rsidRDefault="007331D4"/>
  </w:footnote>
  <w:footnote w:id="1">
    <w:p w14:paraId="0C2F0BA0" w14:textId="13ECAF07" w:rsidR="00193BD9" w:rsidRDefault="00193BD9" w:rsidP="009B6D54">
      <w:pPr>
        <w:pStyle w:val="FootnoteText"/>
      </w:pPr>
      <w:r>
        <w:rPr>
          <w:rStyle w:val="FootnoteReference"/>
        </w:rPr>
        <w:footnoteRef/>
      </w:r>
      <w:r>
        <w:t xml:space="preserve"> Gas Technology Institute. 2012. </w:t>
      </w:r>
      <w:r w:rsidRPr="009B6D54">
        <w:rPr>
          <w:i/>
          <w:iCs/>
        </w:rPr>
        <w:t>Residential Water Heating Program. Facilitating the Market Transformation to Higher Efficiency Gas-Fired Water Heating.</w:t>
      </w:r>
      <w:r>
        <w:t xml:space="preserve"> Prepared for the California Energy Commission (CEC). CEC-500-2013-060. December.</w:t>
      </w:r>
    </w:p>
  </w:footnote>
  <w:footnote w:id="2">
    <w:p w14:paraId="45D863AE" w14:textId="5B93FCAF" w:rsidR="00193BD9" w:rsidRDefault="00193BD9">
      <w:pPr>
        <w:pStyle w:val="FootnoteText"/>
      </w:pPr>
      <w:r>
        <w:rPr>
          <w:rStyle w:val="FootnoteReference"/>
        </w:rPr>
        <w:footnoteRef/>
      </w:r>
      <w:r>
        <w:t xml:space="preserve"> White, B. and M. Esser (NegaWatt Consulting). 2015. </w:t>
      </w:r>
      <w:r w:rsidRPr="00394F3B">
        <w:rPr>
          <w:i/>
          <w:iCs/>
        </w:rPr>
        <w:t>Combination Boiler Reset Controller Field Evaluation. Final Report.</w:t>
      </w:r>
      <w:r>
        <w:t xml:space="preserve"> Conducted for the Southern California Gas Company (SCG). Emerging Technologies Program Project ID ET12SCG0004. July 6.</w:t>
      </w:r>
    </w:p>
  </w:footnote>
  <w:footnote w:id="3">
    <w:p w14:paraId="24B66F75" w14:textId="49F44587" w:rsidR="00193BD9" w:rsidRDefault="00193BD9">
      <w:pPr>
        <w:pStyle w:val="FootnoteText"/>
      </w:pPr>
      <w:r>
        <w:rPr>
          <w:rStyle w:val="FootnoteReference"/>
        </w:rPr>
        <w:footnoteRef/>
      </w:r>
      <w:r>
        <w:t xml:space="preserve"> Information &amp; Energy Services, Inc. 2011. </w:t>
      </w:r>
      <w:r w:rsidRPr="009B6D54">
        <w:rPr>
          <w:i/>
          <w:iCs/>
        </w:rPr>
        <w:t xml:space="preserve">Engineering Measurement &amp; Verification Study: A dual Setpoint controller for Combination Service Boilers. </w:t>
      </w:r>
      <w:r>
        <w:t>Prepared for Sempra Energy.</w:t>
      </w:r>
    </w:p>
  </w:footnote>
  <w:footnote w:id="4">
    <w:p w14:paraId="493B54C8" w14:textId="28B350BD" w:rsidR="00193BD9" w:rsidRDefault="00193BD9">
      <w:pPr>
        <w:pStyle w:val="FootnoteText"/>
      </w:pPr>
      <w:r>
        <w:rPr>
          <w:rStyle w:val="FootnoteReference"/>
        </w:rPr>
        <w:footnoteRef/>
      </w:r>
      <w:r>
        <w:t xml:space="preserve"> California Energy Commission (CEC). 2015. </w:t>
      </w:r>
      <w:r>
        <w:rPr>
          <w:rStyle w:val="Emphasis"/>
        </w:rPr>
        <w:t>2016 Building Energy Efficiency Standards for Residential and Nonresidential Buildings (Title 24)</w:t>
      </w:r>
      <w:r>
        <w:t>. CEC‐400‐2015‐037-CMF. </w:t>
      </w:r>
    </w:p>
  </w:footnote>
  <w:footnote w:id="5">
    <w:p w14:paraId="0ECA454B" w14:textId="5EB50B16" w:rsidR="00193BD9" w:rsidRPr="0035540E" w:rsidRDefault="00193BD9" w:rsidP="00E42E63">
      <w:pPr>
        <w:pStyle w:val="FootnoteText"/>
      </w:pPr>
      <w:r w:rsidRPr="009F0742">
        <w:rPr>
          <w:rStyle w:val="FootnoteReference"/>
          <w:b/>
        </w:rPr>
        <w:footnoteRef/>
      </w:r>
      <w:r w:rsidRPr="009F0742">
        <w:t xml:space="preserve"> </w:t>
      </w:r>
      <w:r w:rsidRPr="0035540E">
        <w:t xml:space="preserve">OpenStudio energy modeling software, developed in collaboration by NREL, ANL, LBNL, ORNL, and PNNL, OpenStudio 2.4.0 has been released </w:t>
      </w:r>
      <w:r>
        <w:t xml:space="preserve">January 5, </w:t>
      </w:r>
      <w:r w:rsidRPr="0035540E">
        <w:t xml:space="preserve">2018 at  </w:t>
      </w:r>
      <w:hyperlink r:id="rId1" w:history="1">
        <w:r w:rsidRPr="0035540E">
          <w:rPr>
            <w:rStyle w:val="Hyperlink"/>
          </w:rPr>
          <w:t>https://www.openstudio.net/</w:t>
        </w:r>
      </w:hyperlink>
    </w:p>
  </w:footnote>
  <w:footnote w:id="6">
    <w:p w14:paraId="3C9B47A9" w14:textId="4DF87DFD" w:rsidR="00193BD9" w:rsidRPr="0035540E" w:rsidRDefault="00193BD9" w:rsidP="00E42E63">
      <w:pPr>
        <w:pStyle w:val="FootnoteText"/>
      </w:pPr>
      <w:r w:rsidRPr="0035540E">
        <w:rPr>
          <w:rStyle w:val="FootnoteReference"/>
        </w:rPr>
        <w:footnoteRef/>
      </w:r>
      <w:r w:rsidRPr="0035540E">
        <w:t xml:space="preserve"> </w:t>
      </w:r>
      <w:r w:rsidRPr="0035540E">
        <w:rPr>
          <w:shd w:val="clear" w:color="auto" w:fill="FFFFFF"/>
        </w:rPr>
        <w:t>EnergyPlus™ is a whole building energy simulation program,</w:t>
      </w:r>
      <w:r w:rsidRPr="0035540E">
        <w:t xml:space="preserve"> DOE </w:t>
      </w:r>
      <w:r w:rsidRPr="0035540E">
        <w:rPr>
          <w:shd w:val="clear" w:color="auto" w:fill="FFFFFF"/>
        </w:rPr>
        <w:t xml:space="preserve">developed in collaboration with NREL, updated version 8.9.0 was released on March 31, 2018 at </w:t>
      </w:r>
      <w:hyperlink r:id="rId2" w:history="1">
        <w:r w:rsidRPr="0035540E">
          <w:rPr>
            <w:rStyle w:val="Hyperlink"/>
          </w:rPr>
          <w:t>https://energyplus.net/</w:t>
        </w:r>
      </w:hyperlink>
    </w:p>
  </w:footnote>
  <w:footnote w:id="7">
    <w:p w14:paraId="0B368F08" w14:textId="0CA5FA4B" w:rsidR="00193BD9" w:rsidRDefault="00193BD9" w:rsidP="00E42E63">
      <w:pPr>
        <w:pStyle w:val="FootnoteText"/>
        <w:rPr>
          <w:rStyle w:val="Hyperlink"/>
        </w:rPr>
      </w:pPr>
      <w:r w:rsidRPr="0035540E">
        <w:rPr>
          <w:rStyle w:val="FootnoteReference"/>
        </w:rPr>
        <w:footnoteRef/>
      </w:r>
      <w:r w:rsidRPr="0035540E">
        <w:t xml:space="preserve"> </w:t>
      </w:r>
      <w:r w:rsidRPr="009F573B">
        <w:t>California Public Utilities Commission (CPUC), Energy Division. 2017. DEER2015 Small Storage and Small Instantaneous Water Heater Energy Use Calculator. "DEER-WaterHeater-Calculator-v2.1.xlsm." Updated July 10, 2017.</w:t>
      </w:r>
    </w:p>
    <w:p w14:paraId="36A933AF" w14:textId="4ECDD053" w:rsidR="00193BD9" w:rsidRPr="00F4070D" w:rsidRDefault="00193BD9" w:rsidP="00F4070D">
      <w:pPr>
        <w:pStyle w:val="eTRMFootnoteText"/>
      </w:pPr>
      <w:r w:rsidRPr="00F4070D">
        <w:rPr>
          <w:rStyle w:val="Hyperlink"/>
          <w:color w:val="auto"/>
          <w:u w:val="none"/>
        </w:rPr>
        <w:t>More current versions of the Water Heater Calculator did not change annual hot water use in multifamily buildings.</w:t>
      </w:r>
    </w:p>
  </w:footnote>
  <w:footnote w:id="8">
    <w:p w14:paraId="1AEC3168" w14:textId="666D0408" w:rsidR="00193BD9" w:rsidRDefault="00193BD9" w:rsidP="00E42E63">
      <w:pPr>
        <w:pStyle w:val="FootnoteText"/>
      </w:pPr>
      <w:r w:rsidRPr="0035540E">
        <w:rPr>
          <w:rStyle w:val="FootnoteReference"/>
        </w:rPr>
        <w:footnoteRef/>
      </w:r>
      <w:r w:rsidRPr="0035540E">
        <w:t xml:space="preserve"> </w:t>
      </w:r>
      <w:bookmarkStart w:id="52" w:name="_Hlk11842742"/>
      <w:r>
        <w:t>California Public Utilities Commission (CPUC), Energy Division. 2016. “</w:t>
      </w:r>
      <w:r w:rsidRPr="0035540E">
        <w:t>DEER2017-MultiFamily_Tstat-Weights-2016-07-20.</w:t>
      </w:r>
      <w:r>
        <w:t>xlsm.”</w:t>
      </w:r>
      <w:r w:rsidRPr="0035540E">
        <w:t xml:space="preserve"> </w:t>
      </w:r>
      <w:r>
        <w:t>Updated July 20.</w:t>
      </w:r>
    </w:p>
    <w:p w14:paraId="7F40A143" w14:textId="01390093" w:rsidR="00193BD9" w:rsidRPr="00E42E63" w:rsidRDefault="00193BD9" w:rsidP="00E42E63">
      <w:pPr>
        <w:pStyle w:val="FootnoteText"/>
      </w:pPr>
      <w:r>
        <w:t>California Public Utilities Commission (CPUC), Energy Division. 2016. “</w:t>
      </w:r>
      <w:r w:rsidRPr="0035540E">
        <w:t>DEER2017-</w:t>
      </w:r>
      <w:r>
        <w:t>Single</w:t>
      </w:r>
      <w:r w:rsidRPr="0035540E">
        <w:t>Family_Tstat-Weights-2016-07-20.</w:t>
      </w:r>
      <w:r>
        <w:t>xlsm.”</w:t>
      </w:r>
      <w:r w:rsidRPr="0035540E">
        <w:t xml:space="preserve"> </w:t>
      </w:r>
      <w:r>
        <w:t>Updated July 20.</w:t>
      </w:r>
      <w:bookmarkEnd w:id="52"/>
    </w:p>
  </w:footnote>
  <w:footnote w:id="9">
    <w:p w14:paraId="34BDA407" w14:textId="6F25B603" w:rsidR="00193BD9" w:rsidRDefault="00193BD9">
      <w:pPr>
        <w:pStyle w:val="FootnoteText"/>
      </w:pPr>
      <w:r>
        <w:rPr>
          <w:rStyle w:val="FootnoteReference"/>
        </w:rPr>
        <w:footnoteRef/>
      </w:r>
      <w:r>
        <w:t xml:space="preserve"> California Public Utilities Commission (CPUC), Energy Division. 2016. “</w:t>
      </w:r>
      <w:r w:rsidRPr="0035540E">
        <w:t>DEER2017-MultiFamily_Tstat-Weights-2016-07-20.</w:t>
      </w:r>
      <w:r>
        <w:t>xlsm.”</w:t>
      </w:r>
      <w:r w:rsidRPr="0035540E">
        <w:t xml:space="preserve"> </w:t>
      </w:r>
      <w:r>
        <w:t>Updated July 20.</w:t>
      </w:r>
    </w:p>
  </w:footnote>
  <w:footnote w:id="10">
    <w:p w14:paraId="4CA2ED22" w14:textId="6B510898" w:rsidR="00193BD9" w:rsidRDefault="00193BD9">
      <w:pPr>
        <w:pStyle w:val="FootnoteText"/>
      </w:pPr>
      <w:r>
        <w:rPr>
          <w:rStyle w:val="FootnoteReference"/>
        </w:rPr>
        <w:footnoteRef/>
      </w:r>
      <w:r>
        <w:t xml:space="preserve"> </w:t>
      </w:r>
      <w:bookmarkStart w:id="56" w:name="_Hlk11842855"/>
      <w:r>
        <w:rPr>
          <w:rFonts w:eastAsiaTheme="minorHAnsi"/>
        </w:rPr>
        <w:t>Southern California Gas Company (SCG). 2018. “SWWH024-01 Modeling results 2018032</w:t>
      </w:r>
      <w:bookmarkEnd w:id="56"/>
    </w:p>
  </w:footnote>
  <w:footnote w:id="11">
    <w:p w14:paraId="5237D1F5" w14:textId="06D51076" w:rsidR="00193BD9" w:rsidRDefault="00193BD9">
      <w:pPr>
        <w:pStyle w:val="FootnoteText"/>
      </w:pPr>
      <w:r>
        <w:rPr>
          <w:rStyle w:val="FootnoteReference"/>
        </w:rPr>
        <w:footnoteRef/>
      </w:r>
      <w:r>
        <w:t xml:space="preserve"> The software model was created for three zones and the results were expanded to the remaining zones using HDDs in the regression analysis.</w:t>
      </w:r>
    </w:p>
  </w:footnote>
  <w:footnote w:id="12">
    <w:p w14:paraId="259AAE5F" w14:textId="77777777" w:rsidR="00193BD9" w:rsidRDefault="00193BD9" w:rsidP="004728DA">
      <w:pPr>
        <w:pStyle w:val="FootnoteText"/>
      </w:pPr>
      <w:r>
        <w:rPr>
          <w:rStyle w:val="FootnoteReference"/>
        </w:rPr>
        <w:footnoteRef/>
      </w:r>
      <w:r>
        <w:t xml:space="preserve"> The software model was created for three zones and the results were expanded to the remaining zones using HDDs in the regression analysis.</w:t>
      </w:r>
    </w:p>
  </w:footnote>
  <w:footnote w:id="13">
    <w:p w14:paraId="4D6EB2C2" w14:textId="3E5BD29F" w:rsidR="00193BD9" w:rsidRDefault="00193BD9">
      <w:pPr>
        <w:pStyle w:val="FootnoteText"/>
      </w:pPr>
      <w:r>
        <w:rPr>
          <w:rStyle w:val="FootnoteReference"/>
        </w:rPr>
        <w:footnoteRef/>
      </w:r>
      <w:r>
        <w:t xml:space="preserve"> </w:t>
      </w:r>
      <w:r w:rsidRPr="004204C5">
        <w:t>The heating degree day data is from the CPUC “DEER2013-Weather-Data-Comparison.zip” zip file.</w:t>
      </w:r>
    </w:p>
  </w:footnote>
  <w:footnote w:id="14">
    <w:p w14:paraId="3DC40303" w14:textId="77777777" w:rsidR="00193BD9" w:rsidRDefault="00193BD9" w:rsidP="00774758">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5">
    <w:p w14:paraId="23B46907" w14:textId="77777777" w:rsidR="00193BD9" w:rsidRDefault="00193BD9" w:rsidP="00774758">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6">
    <w:p w14:paraId="5B2DEA56" w14:textId="77777777" w:rsidR="00193BD9" w:rsidRDefault="00193BD9" w:rsidP="00774758">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4C8F" w14:textId="159C53FF" w:rsidR="00193BD9" w:rsidRPr="000220A0" w:rsidRDefault="00193BD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1ACE" w14:textId="28F384A1" w:rsidR="00193BD9" w:rsidRDefault="00193BD9">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193BD9" w:rsidRDefault="00193B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AA" w14:textId="77777777" w:rsidR="00193BD9" w:rsidRDefault="00193BD9" w:rsidP="00BD221D">
    <w:pPr>
      <w:jc w:val="center"/>
    </w:pPr>
  </w:p>
  <w:p w14:paraId="342310D5" w14:textId="5BACBCD8" w:rsidR="00193BD9" w:rsidRDefault="00193BD9" w:rsidP="00BD221D">
    <w:pPr>
      <w:jc w:val="center"/>
    </w:pPr>
    <w:r>
      <w:rPr>
        <w:noProof/>
      </w:rPr>
      <w:drawing>
        <wp:inline distT="0" distB="0" distL="0" distR="0" wp14:anchorId="4B2AF0A8" wp14:editId="7258E71E">
          <wp:extent cx="937307" cy="1405961"/>
          <wp:effectExtent l="0" t="0" r="2540" b="0"/>
          <wp:docPr id="23" name="Picture 2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D616" w14:textId="3CC6CC6E" w:rsidR="00193BD9" w:rsidRDefault="00193BD9" w:rsidP="001D7A57">
    <w:pPr>
      <w:pStyle w:val="Header"/>
    </w:pPr>
    <w:r>
      <w:rPr>
        <w:rFonts w:ascii="Calibri Light" w:hAnsi="Calibri Light"/>
      </w:rPr>
      <w:t>SERVICE &amp; DOMESTIC HOT WATER</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B809CE">
      <w:rPr>
        <w:b/>
        <w:bCs/>
      </w:rPr>
      <w:t>Central Boiler Dual Setpoint Temperature Controller, Multifamily</w:t>
    </w:r>
  </w:p>
  <w:p w14:paraId="2AC97B25" w14:textId="77777777" w:rsidR="00193BD9" w:rsidRDefault="00193B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757E" w14:textId="68B81AAC" w:rsidR="00193BD9" w:rsidRDefault="00193B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34B93"/>
    <w:multiLevelType w:val="hybridMultilevel"/>
    <w:tmpl w:val="1ED41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F7741"/>
    <w:multiLevelType w:val="hybridMultilevel"/>
    <w:tmpl w:val="B1D84DE8"/>
    <w:lvl w:ilvl="0" w:tplc="1736DC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407BD"/>
    <w:multiLevelType w:val="hybridMultilevel"/>
    <w:tmpl w:val="E6D4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207D9C"/>
    <w:multiLevelType w:val="hybridMultilevel"/>
    <w:tmpl w:val="36A836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39389E"/>
    <w:multiLevelType w:val="hybridMultilevel"/>
    <w:tmpl w:val="4A588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44B6C"/>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A048BC"/>
    <w:multiLevelType w:val="hybridMultilevel"/>
    <w:tmpl w:val="36A836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2" w15:restartNumberingAfterBreak="0">
    <w:nsid w:val="7635289E"/>
    <w:multiLevelType w:val="hybridMultilevel"/>
    <w:tmpl w:val="63F894B2"/>
    <w:lvl w:ilvl="0" w:tplc="04090001">
      <w:start w:val="1"/>
      <w:numFmt w:val="bullet"/>
      <w:lvlText w:val=""/>
      <w:lvlJc w:val="left"/>
      <w:pPr>
        <w:ind w:left="360" w:hanging="360"/>
      </w:pPr>
      <w:rPr>
        <w:rFonts w:ascii="Symbol" w:hAnsi="Symbol" w:hint="default"/>
      </w:rPr>
    </w:lvl>
    <w:lvl w:ilvl="1" w:tplc="F10E6E72">
      <w:numFmt w:val="bullet"/>
      <w:lvlText w:val="•"/>
      <w:lvlJc w:val="left"/>
      <w:pPr>
        <w:ind w:left="1080" w:hanging="360"/>
      </w:pPr>
      <w:rPr>
        <w:rFonts w:ascii="Arial" w:eastAsiaTheme="minorHAnsi" w:hAnsi="Arial" w:cs="Aria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1"/>
  </w:num>
  <w:num w:numId="2">
    <w:abstractNumId w:val="19"/>
  </w:num>
  <w:num w:numId="3">
    <w:abstractNumId w:val="21"/>
  </w:num>
  <w:num w:numId="4">
    <w:abstractNumId w:val="21"/>
  </w:num>
  <w:num w:numId="5">
    <w:abstractNumId w:val="15"/>
    <w:lvlOverride w:ilvl="0">
      <w:lvl w:ilvl="0">
        <w:start w:val="1"/>
        <w:numFmt w:val="decimal"/>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18"/>
  </w:num>
  <w:num w:numId="9">
    <w:abstractNumId w:val="0"/>
  </w:num>
  <w:num w:numId="10">
    <w:abstractNumId w:val="20"/>
  </w:num>
  <w:num w:numId="11">
    <w:abstractNumId w:val="7"/>
  </w:num>
  <w:num w:numId="12">
    <w:abstractNumId w:val="4"/>
  </w:num>
  <w:num w:numId="13">
    <w:abstractNumId w:val="16"/>
  </w:num>
  <w:num w:numId="14">
    <w:abstractNumId w:val="13"/>
  </w:num>
  <w:num w:numId="15">
    <w:abstractNumId w:val="5"/>
  </w:num>
  <w:num w:numId="16">
    <w:abstractNumId w:val="2"/>
  </w:num>
  <w:num w:numId="17">
    <w:abstractNumId w:val="22"/>
  </w:num>
  <w:num w:numId="18">
    <w:abstractNumId w:val="14"/>
  </w:num>
  <w:num w:numId="19">
    <w:abstractNumId w:val="3"/>
  </w:num>
  <w:num w:numId="20">
    <w:abstractNumId w:val="3"/>
  </w:num>
  <w:num w:numId="21">
    <w:abstractNumId w:val="8"/>
  </w:num>
  <w:num w:numId="22">
    <w:abstractNumId w:val="10"/>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B06"/>
    <w:rsid w:val="000063B0"/>
    <w:rsid w:val="00010BD2"/>
    <w:rsid w:val="000110D9"/>
    <w:rsid w:val="000111AF"/>
    <w:rsid w:val="00016928"/>
    <w:rsid w:val="000220A0"/>
    <w:rsid w:val="000229F1"/>
    <w:rsid w:val="0002389A"/>
    <w:rsid w:val="00026D58"/>
    <w:rsid w:val="00026E1D"/>
    <w:rsid w:val="000302DF"/>
    <w:rsid w:val="000307C6"/>
    <w:rsid w:val="00030F8C"/>
    <w:rsid w:val="00031184"/>
    <w:rsid w:val="00037A06"/>
    <w:rsid w:val="00044B74"/>
    <w:rsid w:val="000468F0"/>
    <w:rsid w:val="00046BB0"/>
    <w:rsid w:val="00051DBB"/>
    <w:rsid w:val="00052C95"/>
    <w:rsid w:val="000530E4"/>
    <w:rsid w:val="00053B53"/>
    <w:rsid w:val="0005587A"/>
    <w:rsid w:val="00061D34"/>
    <w:rsid w:val="000621A8"/>
    <w:rsid w:val="00065E54"/>
    <w:rsid w:val="000672CB"/>
    <w:rsid w:val="000672E5"/>
    <w:rsid w:val="00067715"/>
    <w:rsid w:val="00074E3E"/>
    <w:rsid w:val="000767E9"/>
    <w:rsid w:val="0008108C"/>
    <w:rsid w:val="00082FDE"/>
    <w:rsid w:val="000841AA"/>
    <w:rsid w:val="00084EDF"/>
    <w:rsid w:val="00085726"/>
    <w:rsid w:val="00087FD4"/>
    <w:rsid w:val="00090BBF"/>
    <w:rsid w:val="000910B7"/>
    <w:rsid w:val="00091581"/>
    <w:rsid w:val="00094517"/>
    <w:rsid w:val="00096485"/>
    <w:rsid w:val="000978C8"/>
    <w:rsid w:val="000A270E"/>
    <w:rsid w:val="000A4D3A"/>
    <w:rsid w:val="000A62EF"/>
    <w:rsid w:val="000A6622"/>
    <w:rsid w:val="000A66B7"/>
    <w:rsid w:val="000A7058"/>
    <w:rsid w:val="000B09AB"/>
    <w:rsid w:val="000B139B"/>
    <w:rsid w:val="000B6004"/>
    <w:rsid w:val="000C36B4"/>
    <w:rsid w:val="000C3CAE"/>
    <w:rsid w:val="000C72C1"/>
    <w:rsid w:val="000C7B77"/>
    <w:rsid w:val="000D0751"/>
    <w:rsid w:val="000D3E86"/>
    <w:rsid w:val="000D4BC0"/>
    <w:rsid w:val="000E044A"/>
    <w:rsid w:val="000F1833"/>
    <w:rsid w:val="00103399"/>
    <w:rsid w:val="0010471F"/>
    <w:rsid w:val="00104933"/>
    <w:rsid w:val="00111A53"/>
    <w:rsid w:val="0011498C"/>
    <w:rsid w:val="00120592"/>
    <w:rsid w:val="001217DF"/>
    <w:rsid w:val="0012187D"/>
    <w:rsid w:val="00124BFE"/>
    <w:rsid w:val="00126809"/>
    <w:rsid w:val="00126B25"/>
    <w:rsid w:val="00127C09"/>
    <w:rsid w:val="00131C5A"/>
    <w:rsid w:val="00132E1A"/>
    <w:rsid w:val="00142D3C"/>
    <w:rsid w:val="001451AB"/>
    <w:rsid w:val="00151B9F"/>
    <w:rsid w:val="00153BB7"/>
    <w:rsid w:val="00154391"/>
    <w:rsid w:val="001564FC"/>
    <w:rsid w:val="00157985"/>
    <w:rsid w:val="00157C47"/>
    <w:rsid w:val="00161DF1"/>
    <w:rsid w:val="001648F6"/>
    <w:rsid w:val="00171BB8"/>
    <w:rsid w:val="00174707"/>
    <w:rsid w:val="00177EB6"/>
    <w:rsid w:val="00180DAD"/>
    <w:rsid w:val="00181672"/>
    <w:rsid w:val="00181E01"/>
    <w:rsid w:val="0018793D"/>
    <w:rsid w:val="00193BD9"/>
    <w:rsid w:val="001944A0"/>
    <w:rsid w:val="001944B4"/>
    <w:rsid w:val="00195B03"/>
    <w:rsid w:val="00196649"/>
    <w:rsid w:val="001A0376"/>
    <w:rsid w:val="001A11C7"/>
    <w:rsid w:val="001A4BE1"/>
    <w:rsid w:val="001A7A21"/>
    <w:rsid w:val="001B0D29"/>
    <w:rsid w:val="001B1997"/>
    <w:rsid w:val="001B1D23"/>
    <w:rsid w:val="001B3790"/>
    <w:rsid w:val="001B426F"/>
    <w:rsid w:val="001C0AD5"/>
    <w:rsid w:val="001C2ACE"/>
    <w:rsid w:val="001C5A9F"/>
    <w:rsid w:val="001C6C9B"/>
    <w:rsid w:val="001C7134"/>
    <w:rsid w:val="001D01EF"/>
    <w:rsid w:val="001D656F"/>
    <w:rsid w:val="001D65A6"/>
    <w:rsid w:val="001D6850"/>
    <w:rsid w:val="001D7A57"/>
    <w:rsid w:val="001E19A3"/>
    <w:rsid w:val="001E4C3F"/>
    <w:rsid w:val="001E6273"/>
    <w:rsid w:val="001E66BD"/>
    <w:rsid w:val="001F00E9"/>
    <w:rsid w:val="001F735E"/>
    <w:rsid w:val="002005A8"/>
    <w:rsid w:val="002006B6"/>
    <w:rsid w:val="00202FFF"/>
    <w:rsid w:val="00205BAF"/>
    <w:rsid w:val="00207F85"/>
    <w:rsid w:val="0021226A"/>
    <w:rsid w:val="0021230E"/>
    <w:rsid w:val="00216793"/>
    <w:rsid w:val="00224A16"/>
    <w:rsid w:val="00225142"/>
    <w:rsid w:val="00226694"/>
    <w:rsid w:val="00227BDD"/>
    <w:rsid w:val="002318A4"/>
    <w:rsid w:val="002335FF"/>
    <w:rsid w:val="00233D87"/>
    <w:rsid w:val="0023666C"/>
    <w:rsid w:val="00236692"/>
    <w:rsid w:val="00236E0A"/>
    <w:rsid w:val="00237964"/>
    <w:rsid w:val="002434DE"/>
    <w:rsid w:val="00245AFF"/>
    <w:rsid w:val="0024628D"/>
    <w:rsid w:val="00246711"/>
    <w:rsid w:val="0024690E"/>
    <w:rsid w:val="00251ABC"/>
    <w:rsid w:val="002524CF"/>
    <w:rsid w:val="00256400"/>
    <w:rsid w:val="002577E0"/>
    <w:rsid w:val="002652D2"/>
    <w:rsid w:val="00271B18"/>
    <w:rsid w:val="00273F3E"/>
    <w:rsid w:val="00276F9B"/>
    <w:rsid w:val="002830E7"/>
    <w:rsid w:val="002942B0"/>
    <w:rsid w:val="0029555D"/>
    <w:rsid w:val="0029781E"/>
    <w:rsid w:val="002A1953"/>
    <w:rsid w:val="002A2471"/>
    <w:rsid w:val="002A2A94"/>
    <w:rsid w:val="002A68FA"/>
    <w:rsid w:val="002B107C"/>
    <w:rsid w:val="002B2C97"/>
    <w:rsid w:val="002B3BF4"/>
    <w:rsid w:val="002B6DED"/>
    <w:rsid w:val="002B6F2A"/>
    <w:rsid w:val="002C06FC"/>
    <w:rsid w:val="002C1117"/>
    <w:rsid w:val="002C67DF"/>
    <w:rsid w:val="002D0036"/>
    <w:rsid w:val="002D17CE"/>
    <w:rsid w:val="002D29F8"/>
    <w:rsid w:val="002D40EE"/>
    <w:rsid w:val="002D4993"/>
    <w:rsid w:val="002D50E9"/>
    <w:rsid w:val="002D5CFA"/>
    <w:rsid w:val="002E5874"/>
    <w:rsid w:val="002E6B96"/>
    <w:rsid w:val="002F036B"/>
    <w:rsid w:val="00302A82"/>
    <w:rsid w:val="00304892"/>
    <w:rsid w:val="00310335"/>
    <w:rsid w:val="003103FB"/>
    <w:rsid w:val="00313E1D"/>
    <w:rsid w:val="0031777A"/>
    <w:rsid w:val="003247FA"/>
    <w:rsid w:val="003309DA"/>
    <w:rsid w:val="00333809"/>
    <w:rsid w:val="00334B29"/>
    <w:rsid w:val="00334B50"/>
    <w:rsid w:val="00336313"/>
    <w:rsid w:val="00337D1D"/>
    <w:rsid w:val="00347625"/>
    <w:rsid w:val="0035060F"/>
    <w:rsid w:val="003517A3"/>
    <w:rsid w:val="00351BCB"/>
    <w:rsid w:val="00352864"/>
    <w:rsid w:val="0035540E"/>
    <w:rsid w:val="00355CEE"/>
    <w:rsid w:val="00362F9E"/>
    <w:rsid w:val="00363BE8"/>
    <w:rsid w:val="0037004E"/>
    <w:rsid w:val="00370B5D"/>
    <w:rsid w:val="00372F61"/>
    <w:rsid w:val="00385069"/>
    <w:rsid w:val="00387072"/>
    <w:rsid w:val="00392097"/>
    <w:rsid w:val="00392684"/>
    <w:rsid w:val="00394F3B"/>
    <w:rsid w:val="003974D4"/>
    <w:rsid w:val="003B06AB"/>
    <w:rsid w:val="003B7610"/>
    <w:rsid w:val="003C0A98"/>
    <w:rsid w:val="003C2CC3"/>
    <w:rsid w:val="003C3614"/>
    <w:rsid w:val="003C7721"/>
    <w:rsid w:val="003D1FB8"/>
    <w:rsid w:val="003D7104"/>
    <w:rsid w:val="003E1859"/>
    <w:rsid w:val="003E2013"/>
    <w:rsid w:val="003E4FB6"/>
    <w:rsid w:val="003E50CF"/>
    <w:rsid w:val="003E5605"/>
    <w:rsid w:val="003E7BC6"/>
    <w:rsid w:val="003F0784"/>
    <w:rsid w:val="003F21D2"/>
    <w:rsid w:val="003F269E"/>
    <w:rsid w:val="003F4964"/>
    <w:rsid w:val="003F5FDC"/>
    <w:rsid w:val="003F65F3"/>
    <w:rsid w:val="00401C43"/>
    <w:rsid w:val="004032ED"/>
    <w:rsid w:val="004046FF"/>
    <w:rsid w:val="00410790"/>
    <w:rsid w:val="00411EF4"/>
    <w:rsid w:val="004133BB"/>
    <w:rsid w:val="004142EF"/>
    <w:rsid w:val="004204C5"/>
    <w:rsid w:val="00420958"/>
    <w:rsid w:val="00420EF1"/>
    <w:rsid w:val="00421920"/>
    <w:rsid w:val="00423D33"/>
    <w:rsid w:val="004249A0"/>
    <w:rsid w:val="0043155E"/>
    <w:rsid w:val="00432D49"/>
    <w:rsid w:val="004339EA"/>
    <w:rsid w:val="00433E06"/>
    <w:rsid w:val="00433E8F"/>
    <w:rsid w:val="00434145"/>
    <w:rsid w:val="004442FB"/>
    <w:rsid w:val="0044577B"/>
    <w:rsid w:val="00451588"/>
    <w:rsid w:val="004517F1"/>
    <w:rsid w:val="00451FF6"/>
    <w:rsid w:val="004553DB"/>
    <w:rsid w:val="004556DF"/>
    <w:rsid w:val="00461403"/>
    <w:rsid w:val="00461AE3"/>
    <w:rsid w:val="00462BB6"/>
    <w:rsid w:val="00464A63"/>
    <w:rsid w:val="00466DD6"/>
    <w:rsid w:val="00467069"/>
    <w:rsid w:val="00470002"/>
    <w:rsid w:val="00470670"/>
    <w:rsid w:val="00470B97"/>
    <w:rsid w:val="00472286"/>
    <w:rsid w:val="004728DA"/>
    <w:rsid w:val="00473A64"/>
    <w:rsid w:val="004743A7"/>
    <w:rsid w:val="00474DB5"/>
    <w:rsid w:val="00475A47"/>
    <w:rsid w:val="00475D57"/>
    <w:rsid w:val="004831FB"/>
    <w:rsid w:val="00484536"/>
    <w:rsid w:val="00486585"/>
    <w:rsid w:val="0049615E"/>
    <w:rsid w:val="00497289"/>
    <w:rsid w:val="004A06AE"/>
    <w:rsid w:val="004A30A1"/>
    <w:rsid w:val="004A510D"/>
    <w:rsid w:val="004A6EBF"/>
    <w:rsid w:val="004B06E3"/>
    <w:rsid w:val="004B0F35"/>
    <w:rsid w:val="004B35DC"/>
    <w:rsid w:val="004B5888"/>
    <w:rsid w:val="004B6780"/>
    <w:rsid w:val="004B7CAA"/>
    <w:rsid w:val="004C2A36"/>
    <w:rsid w:val="004C3663"/>
    <w:rsid w:val="004C57EC"/>
    <w:rsid w:val="004C69F2"/>
    <w:rsid w:val="004D00AE"/>
    <w:rsid w:val="004D0C20"/>
    <w:rsid w:val="004D1461"/>
    <w:rsid w:val="004D3A71"/>
    <w:rsid w:val="004D3CE4"/>
    <w:rsid w:val="004D7E51"/>
    <w:rsid w:val="004E04EE"/>
    <w:rsid w:val="004E1B37"/>
    <w:rsid w:val="004E2704"/>
    <w:rsid w:val="004E3F72"/>
    <w:rsid w:val="004E4D01"/>
    <w:rsid w:val="004F705B"/>
    <w:rsid w:val="00500964"/>
    <w:rsid w:val="00500C66"/>
    <w:rsid w:val="00505B94"/>
    <w:rsid w:val="00505BCA"/>
    <w:rsid w:val="005130EC"/>
    <w:rsid w:val="005146E6"/>
    <w:rsid w:val="0052002D"/>
    <w:rsid w:val="005304BF"/>
    <w:rsid w:val="00535A42"/>
    <w:rsid w:val="0053748E"/>
    <w:rsid w:val="0054018D"/>
    <w:rsid w:val="0054246D"/>
    <w:rsid w:val="005449C6"/>
    <w:rsid w:val="005474B0"/>
    <w:rsid w:val="00556A47"/>
    <w:rsid w:val="0056177B"/>
    <w:rsid w:val="00566B42"/>
    <w:rsid w:val="0057165C"/>
    <w:rsid w:val="00571D95"/>
    <w:rsid w:val="005722C6"/>
    <w:rsid w:val="00574255"/>
    <w:rsid w:val="00576D26"/>
    <w:rsid w:val="00580FF8"/>
    <w:rsid w:val="00585C8D"/>
    <w:rsid w:val="005862CC"/>
    <w:rsid w:val="00587EE8"/>
    <w:rsid w:val="005911FE"/>
    <w:rsid w:val="0059312F"/>
    <w:rsid w:val="00593220"/>
    <w:rsid w:val="00593707"/>
    <w:rsid w:val="0059380C"/>
    <w:rsid w:val="00595758"/>
    <w:rsid w:val="00596081"/>
    <w:rsid w:val="005A0EE0"/>
    <w:rsid w:val="005A3943"/>
    <w:rsid w:val="005A51E6"/>
    <w:rsid w:val="005A6312"/>
    <w:rsid w:val="005A632E"/>
    <w:rsid w:val="005A702D"/>
    <w:rsid w:val="005A74DC"/>
    <w:rsid w:val="005B0468"/>
    <w:rsid w:val="005B1878"/>
    <w:rsid w:val="005B2BA2"/>
    <w:rsid w:val="005B6133"/>
    <w:rsid w:val="005B6EEE"/>
    <w:rsid w:val="005B7418"/>
    <w:rsid w:val="005C03A9"/>
    <w:rsid w:val="005C1D6E"/>
    <w:rsid w:val="005C2BFC"/>
    <w:rsid w:val="005C324B"/>
    <w:rsid w:val="005C43E2"/>
    <w:rsid w:val="005C454A"/>
    <w:rsid w:val="005C74C9"/>
    <w:rsid w:val="005C7A2F"/>
    <w:rsid w:val="005D1B14"/>
    <w:rsid w:val="005D257B"/>
    <w:rsid w:val="005E1D5C"/>
    <w:rsid w:val="005E25DC"/>
    <w:rsid w:val="005E52AE"/>
    <w:rsid w:val="005E5607"/>
    <w:rsid w:val="005E567C"/>
    <w:rsid w:val="005E57D4"/>
    <w:rsid w:val="005F505E"/>
    <w:rsid w:val="00602976"/>
    <w:rsid w:val="0060388D"/>
    <w:rsid w:val="00604231"/>
    <w:rsid w:val="00605571"/>
    <w:rsid w:val="006068F3"/>
    <w:rsid w:val="00610C2F"/>
    <w:rsid w:val="00616FAF"/>
    <w:rsid w:val="0062187C"/>
    <w:rsid w:val="006239BC"/>
    <w:rsid w:val="00625805"/>
    <w:rsid w:val="00625D89"/>
    <w:rsid w:val="00627298"/>
    <w:rsid w:val="00627AC4"/>
    <w:rsid w:val="0063253B"/>
    <w:rsid w:val="006363C8"/>
    <w:rsid w:val="00637AB8"/>
    <w:rsid w:val="0064370D"/>
    <w:rsid w:val="00643771"/>
    <w:rsid w:val="00644946"/>
    <w:rsid w:val="00646AB8"/>
    <w:rsid w:val="00647BD9"/>
    <w:rsid w:val="0065272C"/>
    <w:rsid w:val="00653281"/>
    <w:rsid w:val="00653BF8"/>
    <w:rsid w:val="00654A3E"/>
    <w:rsid w:val="00657C37"/>
    <w:rsid w:val="006624A7"/>
    <w:rsid w:val="0066515F"/>
    <w:rsid w:val="006660BE"/>
    <w:rsid w:val="006663E9"/>
    <w:rsid w:val="006668AF"/>
    <w:rsid w:val="00667810"/>
    <w:rsid w:val="00670A7E"/>
    <w:rsid w:val="006714EB"/>
    <w:rsid w:val="0067278C"/>
    <w:rsid w:val="00676DAA"/>
    <w:rsid w:val="00684FF7"/>
    <w:rsid w:val="006853F6"/>
    <w:rsid w:val="00686439"/>
    <w:rsid w:val="00693EF7"/>
    <w:rsid w:val="00697A88"/>
    <w:rsid w:val="00697CF1"/>
    <w:rsid w:val="006A6051"/>
    <w:rsid w:val="006B31D9"/>
    <w:rsid w:val="006C0102"/>
    <w:rsid w:val="006C07D4"/>
    <w:rsid w:val="006C3721"/>
    <w:rsid w:val="006C41AD"/>
    <w:rsid w:val="006D04BD"/>
    <w:rsid w:val="006D47EF"/>
    <w:rsid w:val="006D6644"/>
    <w:rsid w:val="006D7180"/>
    <w:rsid w:val="006E32D1"/>
    <w:rsid w:val="006E433B"/>
    <w:rsid w:val="006E7899"/>
    <w:rsid w:val="006E7C78"/>
    <w:rsid w:val="006E7D5E"/>
    <w:rsid w:val="006F005E"/>
    <w:rsid w:val="006F27F4"/>
    <w:rsid w:val="006F2E23"/>
    <w:rsid w:val="006F4C30"/>
    <w:rsid w:val="006F7024"/>
    <w:rsid w:val="00703A7C"/>
    <w:rsid w:val="007076DA"/>
    <w:rsid w:val="00707860"/>
    <w:rsid w:val="00710572"/>
    <w:rsid w:val="00717131"/>
    <w:rsid w:val="00717AA0"/>
    <w:rsid w:val="00717DEC"/>
    <w:rsid w:val="007207BF"/>
    <w:rsid w:val="0072404F"/>
    <w:rsid w:val="00725CB0"/>
    <w:rsid w:val="007331D4"/>
    <w:rsid w:val="0073517D"/>
    <w:rsid w:val="0073685C"/>
    <w:rsid w:val="00736D34"/>
    <w:rsid w:val="00737EA5"/>
    <w:rsid w:val="007400AE"/>
    <w:rsid w:val="00740354"/>
    <w:rsid w:val="00741F3E"/>
    <w:rsid w:val="00742F88"/>
    <w:rsid w:val="00743AA8"/>
    <w:rsid w:val="00750840"/>
    <w:rsid w:val="00757617"/>
    <w:rsid w:val="007614EB"/>
    <w:rsid w:val="0076370E"/>
    <w:rsid w:val="00763AD8"/>
    <w:rsid w:val="00765016"/>
    <w:rsid w:val="00767EDE"/>
    <w:rsid w:val="0077100C"/>
    <w:rsid w:val="00774758"/>
    <w:rsid w:val="00776C39"/>
    <w:rsid w:val="00780754"/>
    <w:rsid w:val="00780B17"/>
    <w:rsid w:val="00781D00"/>
    <w:rsid w:val="007900F3"/>
    <w:rsid w:val="00791B69"/>
    <w:rsid w:val="0079498E"/>
    <w:rsid w:val="00796F10"/>
    <w:rsid w:val="00797793"/>
    <w:rsid w:val="007A4835"/>
    <w:rsid w:val="007A6AB5"/>
    <w:rsid w:val="007A6C67"/>
    <w:rsid w:val="007B14D9"/>
    <w:rsid w:val="007B2B46"/>
    <w:rsid w:val="007B30F2"/>
    <w:rsid w:val="007B377F"/>
    <w:rsid w:val="007B4274"/>
    <w:rsid w:val="007B443D"/>
    <w:rsid w:val="007B5117"/>
    <w:rsid w:val="007B599D"/>
    <w:rsid w:val="007B6650"/>
    <w:rsid w:val="007B6A74"/>
    <w:rsid w:val="007C2DC8"/>
    <w:rsid w:val="007C6F76"/>
    <w:rsid w:val="007D097E"/>
    <w:rsid w:val="007D230B"/>
    <w:rsid w:val="007D2D80"/>
    <w:rsid w:val="007D3681"/>
    <w:rsid w:val="007D3824"/>
    <w:rsid w:val="007D49A1"/>
    <w:rsid w:val="007D59DD"/>
    <w:rsid w:val="007D6808"/>
    <w:rsid w:val="007E1455"/>
    <w:rsid w:val="007E1543"/>
    <w:rsid w:val="007E1D82"/>
    <w:rsid w:val="007E1F66"/>
    <w:rsid w:val="007E24B0"/>
    <w:rsid w:val="007E2CB5"/>
    <w:rsid w:val="007E4C10"/>
    <w:rsid w:val="007E6501"/>
    <w:rsid w:val="007E6C25"/>
    <w:rsid w:val="007F32D7"/>
    <w:rsid w:val="007F4F97"/>
    <w:rsid w:val="007F669E"/>
    <w:rsid w:val="00801632"/>
    <w:rsid w:val="008042D1"/>
    <w:rsid w:val="0080520B"/>
    <w:rsid w:val="00807B3E"/>
    <w:rsid w:val="00810D4A"/>
    <w:rsid w:val="00812F82"/>
    <w:rsid w:val="008146FD"/>
    <w:rsid w:val="00815904"/>
    <w:rsid w:val="00816AAB"/>
    <w:rsid w:val="00820402"/>
    <w:rsid w:val="00820A44"/>
    <w:rsid w:val="008243B2"/>
    <w:rsid w:val="00824F08"/>
    <w:rsid w:val="008310DF"/>
    <w:rsid w:val="00831105"/>
    <w:rsid w:val="00835487"/>
    <w:rsid w:val="00840F93"/>
    <w:rsid w:val="00844A4B"/>
    <w:rsid w:val="008453E1"/>
    <w:rsid w:val="00854676"/>
    <w:rsid w:val="00865296"/>
    <w:rsid w:val="00867086"/>
    <w:rsid w:val="00871123"/>
    <w:rsid w:val="00873730"/>
    <w:rsid w:val="00874663"/>
    <w:rsid w:val="00881B95"/>
    <w:rsid w:val="008831CA"/>
    <w:rsid w:val="00883554"/>
    <w:rsid w:val="00887FDA"/>
    <w:rsid w:val="0089272A"/>
    <w:rsid w:val="00894890"/>
    <w:rsid w:val="00897247"/>
    <w:rsid w:val="008A590F"/>
    <w:rsid w:val="008B08F0"/>
    <w:rsid w:val="008B262C"/>
    <w:rsid w:val="008B266D"/>
    <w:rsid w:val="008B2DAD"/>
    <w:rsid w:val="008B6FC8"/>
    <w:rsid w:val="008C19E9"/>
    <w:rsid w:val="008C26E9"/>
    <w:rsid w:val="008C774E"/>
    <w:rsid w:val="008C7D87"/>
    <w:rsid w:val="008D4652"/>
    <w:rsid w:val="008D6D9D"/>
    <w:rsid w:val="008E6550"/>
    <w:rsid w:val="008F1691"/>
    <w:rsid w:val="008F22E2"/>
    <w:rsid w:val="008F5698"/>
    <w:rsid w:val="008F639E"/>
    <w:rsid w:val="00901EF2"/>
    <w:rsid w:val="00903EB6"/>
    <w:rsid w:val="00904906"/>
    <w:rsid w:val="0090702F"/>
    <w:rsid w:val="009079D0"/>
    <w:rsid w:val="009139BE"/>
    <w:rsid w:val="00913D0A"/>
    <w:rsid w:val="009148A1"/>
    <w:rsid w:val="00915F52"/>
    <w:rsid w:val="00924972"/>
    <w:rsid w:val="009309D7"/>
    <w:rsid w:val="009327A5"/>
    <w:rsid w:val="00932E1E"/>
    <w:rsid w:val="00934068"/>
    <w:rsid w:val="00936348"/>
    <w:rsid w:val="00937854"/>
    <w:rsid w:val="009400F4"/>
    <w:rsid w:val="009469E0"/>
    <w:rsid w:val="009511FA"/>
    <w:rsid w:val="00951C4D"/>
    <w:rsid w:val="009523C2"/>
    <w:rsid w:val="00952E03"/>
    <w:rsid w:val="0095396E"/>
    <w:rsid w:val="009547E2"/>
    <w:rsid w:val="00956488"/>
    <w:rsid w:val="00956F5F"/>
    <w:rsid w:val="009610DC"/>
    <w:rsid w:val="00965B97"/>
    <w:rsid w:val="009669D2"/>
    <w:rsid w:val="009709BF"/>
    <w:rsid w:val="0097154F"/>
    <w:rsid w:val="0098457F"/>
    <w:rsid w:val="00985996"/>
    <w:rsid w:val="00986978"/>
    <w:rsid w:val="00992899"/>
    <w:rsid w:val="00994F74"/>
    <w:rsid w:val="0099563A"/>
    <w:rsid w:val="009972DB"/>
    <w:rsid w:val="009A0A18"/>
    <w:rsid w:val="009A13F4"/>
    <w:rsid w:val="009A44BE"/>
    <w:rsid w:val="009B029F"/>
    <w:rsid w:val="009B27F8"/>
    <w:rsid w:val="009B4A8B"/>
    <w:rsid w:val="009B6D54"/>
    <w:rsid w:val="009B74FB"/>
    <w:rsid w:val="009C0660"/>
    <w:rsid w:val="009C2046"/>
    <w:rsid w:val="009C31A4"/>
    <w:rsid w:val="009C4845"/>
    <w:rsid w:val="009C7314"/>
    <w:rsid w:val="009D1FEB"/>
    <w:rsid w:val="009D2442"/>
    <w:rsid w:val="009D5D9F"/>
    <w:rsid w:val="009D7F4D"/>
    <w:rsid w:val="009E0FA2"/>
    <w:rsid w:val="009E1B3D"/>
    <w:rsid w:val="009E2244"/>
    <w:rsid w:val="009E2D42"/>
    <w:rsid w:val="009E57DF"/>
    <w:rsid w:val="009F0742"/>
    <w:rsid w:val="009F1E20"/>
    <w:rsid w:val="009F573B"/>
    <w:rsid w:val="009F57FD"/>
    <w:rsid w:val="009F7F9F"/>
    <w:rsid w:val="00A01E02"/>
    <w:rsid w:val="00A02E26"/>
    <w:rsid w:val="00A05362"/>
    <w:rsid w:val="00A05BA0"/>
    <w:rsid w:val="00A10355"/>
    <w:rsid w:val="00A10C74"/>
    <w:rsid w:val="00A112A4"/>
    <w:rsid w:val="00A11689"/>
    <w:rsid w:val="00A159C9"/>
    <w:rsid w:val="00A167FB"/>
    <w:rsid w:val="00A21B70"/>
    <w:rsid w:val="00A21D02"/>
    <w:rsid w:val="00A21DDB"/>
    <w:rsid w:val="00A23CF6"/>
    <w:rsid w:val="00A242B0"/>
    <w:rsid w:val="00A2690C"/>
    <w:rsid w:val="00A2792F"/>
    <w:rsid w:val="00A30970"/>
    <w:rsid w:val="00A315E4"/>
    <w:rsid w:val="00A31D96"/>
    <w:rsid w:val="00A31FEE"/>
    <w:rsid w:val="00A33722"/>
    <w:rsid w:val="00A33C55"/>
    <w:rsid w:val="00A406C3"/>
    <w:rsid w:val="00A42875"/>
    <w:rsid w:val="00A44DC1"/>
    <w:rsid w:val="00A47168"/>
    <w:rsid w:val="00A47A98"/>
    <w:rsid w:val="00A47EE7"/>
    <w:rsid w:val="00A50B43"/>
    <w:rsid w:val="00A51C87"/>
    <w:rsid w:val="00A54197"/>
    <w:rsid w:val="00A571F2"/>
    <w:rsid w:val="00A61821"/>
    <w:rsid w:val="00A61AFB"/>
    <w:rsid w:val="00A61E3A"/>
    <w:rsid w:val="00A631BA"/>
    <w:rsid w:val="00A65C27"/>
    <w:rsid w:val="00A67CA5"/>
    <w:rsid w:val="00A75CCD"/>
    <w:rsid w:val="00A80506"/>
    <w:rsid w:val="00A806AE"/>
    <w:rsid w:val="00A8118F"/>
    <w:rsid w:val="00A82685"/>
    <w:rsid w:val="00A83458"/>
    <w:rsid w:val="00A86C41"/>
    <w:rsid w:val="00A90148"/>
    <w:rsid w:val="00A917F8"/>
    <w:rsid w:val="00AA0D8C"/>
    <w:rsid w:val="00AA1010"/>
    <w:rsid w:val="00AA25BC"/>
    <w:rsid w:val="00AA3077"/>
    <w:rsid w:val="00AA3E2A"/>
    <w:rsid w:val="00AA46AF"/>
    <w:rsid w:val="00AA5AE7"/>
    <w:rsid w:val="00AA685B"/>
    <w:rsid w:val="00AB4E9E"/>
    <w:rsid w:val="00AB6C99"/>
    <w:rsid w:val="00AC11D5"/>
    <w:rsid w:val="00AC15E5"/>
    <w:rsid w:val="00AC22BB"/>
    <w:rsid w:val="00AC4080"/>
    <w:rsid w:val="00AC5A6D"/>
    <w:rsid w:val="00AC5D73"/>
    <w:rsid w:val="00AC73AD"/>
    <w:rsid w:val="00AC7BED"/>
    <w:rsid w:val="00AD067D"/>
    <w:rsid w:val="00AD5FFD"/>
    <w:rsid w:val="00AD665E"/>
    <w:rsid w:val="00AD705A"/>
    <w:rsid w:val="00AD78F9"/>
    <w:rsid w:val="00AE008D"/>
    <w:rsid w:val="00AE15ED"/>
    <w:rsid w:val="00AE30E0"/>
    <w:rsid w:val="00AE346F"/>
    <w:rsid w:val="00AE3AD5"/>
    <w:rsid w:val="00AF2329"/>
    <w:rsid w:val="00AF3660"/>
    <w:rsid w:val="00AF6546"/>
    <w:rsid w:val="00AF7A20"/>
    <w:rsid w:val="00B01312"/>
    <w:rsid w:val="00B02D98"/>
    <w:rsid w:val="00B06685"/>
    <w:rsid w:val="00B158E1"/>
    <w:rsid w:val="00B15D2F"/>
    <w:rsid w:val="00B16399"/>
    <w:rsid w:val="00B1760F"/>
    <w:rsid w:val="00B21BA5"/>
    <w:rsid w:val="00B22BB6"/>
    <w:rsid w:val="00B22D00"/>
    <w:rsid w:val="00B2586D"/>
    <w:rsid w:val="00B25AE4"/>
    <w:rsid w:val="00B265C9"/>
    <w:rsid w:val="00B26909"/>
    <w:rsid w:val="00B27664"/>
    <w:rsid w:val="00B31169"/>
    <w:rsid w:val="00B31828"/>
    <w:rsid w:val="00B41B98"/>
    <w:rsid w:val="00B41E25"/>
    <w:rsid w:val="00B42BEE"/>
    <w:rsid w:val="00B452B7"/>
    <w:rsid w:val="00B458E3"/>
    <w:rsid w:val="00B518FF"/>
    <w:rsid w:val="00B54F17"/>
    <w:rsid w:val="00B561EE"/>
    <w:rsid w:val="00B57D47"/>
    <w:rsid w:val="00B57F40"/>
    <w:rsid w:val="00B61584"/>
    <w:rsid w:val="00B6210E"/>
    <w:rsid w:val="00B632E3"/>
    <w:rsid w:val="00B64DC8"/>
    <w:rsid w:val="00B70688"/>
    <w:rsid w:val="00B75FD9"/>
    <w:rsid w:val="00B77091"/>
    <w:rsid w:val="00B809CE"/>
    <w:rsid w:val="00B837C1"/>
    <w:rsid w:val="00B841E0"/>
    <w:rsid w:val="00B860BA"/>
    <w:rsid w:val="00B865F5"/>
    <w:rsid w:val="00B870A0"/>
    <w:rsid w:val="00B91DFE"/>
    <w:rsid w:val="00B92858"/>
    <w:rsid w:val="00B966E9"/>
    <w:rsid w:val="00B96BC7"/>
    <w:rsid w:val="00B96E30"/>
    <w:rsid w:val="00B97229"/>
    <w:rsid w:val="00BA08A3"/>
    <w:rsid w:val="00BA2C64"/>
    <w:rsid w:val="00BA3D7D"/>
    <w:rsid w:val="00BA5AB3"/>
    <w:rsid w:val="00BB227E"/>
    <w:rsid w:val="00BB4F22"/>
    <w:rsid w:val="00BB7E3D"/>
    <w:rsid w:val="00BC1088"/>
    <w:rsid w:val="00BC3CD1"/>
    <w:rsid w:val="00BC5EC6"/>
    <w:rsid w:val="00BC5F0E"/>
    <w:rsid w:val="00BD2211"/>
    <w:rsid w:val="00BD221D"/>
    <w:rsid w:val="00BD3E65"/>
    <w:rsid w:val="00BD5934"/>
    <w:rsid w:val="00BD7785"/>
    <w:rsid w:val="00BE3B2E"/>
    <w:rsid w:val="00BE7DE8"/>
    <w:rsid w:val="00BF1CBD"/>
    <w:rsid w:val="00BF52C4"/>
    <w:rsid w:val="00BF62EC"/>
    <w:rsid w:val="00BF693B"/>
    <w:rsid w:val="00C006BE"/>
    <w:rsid w:val="00C05B8E"/>
    <w:rsid w:val="00C0605C"/>
    <w:rsid w:val="00C1063D"/>
    <w:rsid w:val="00C15E0E"/>
    <w:rsid w:val="00C17B7D"/>
    <w:rsid w:val="00C23FB5"/>
    <w:rsid w:val="00C24A1A"/>
    <w:rsid w:val="00C331BB"/>
    <w:rsid w:val="00C41A08"/>
    <w:rsid w:val="00C41FBE"/>
    <w:rsid w:val="00C422B9"/>
    <w:rsid w:val="00C4240A"/>
    <w:rsid w:val="00C4241E"/>
    <w:rsid w:val="00C47456"/>
    <w:rsid w:val="00C504EC"/>
    <w:rsid w:val="00C50EFE"/>
    <w:rsid w:val="00C615A3"/>
    <w:rsid w:val="00C6198D"/>
    <w:rsid w:val="00C627FD"/>
    <w:rsid w:val="00C635DA"/>
    <w:rsid w:val="00C639E7"/>
    <w:rsid w:val="00C659BE"/>
    <w:rsid w:val="00C65FE5"/>
    <w:rsid w:val="00C70F29"/>
    <w:rsid w:val="00C7646E"/>
    <w:rsid w:val="00C80300"/>
    <w:rsid w:val="00C813DE"/>
    <w:rsid w:val="00C82307"/>
    <w:rsid w:val="00C8613B"/>
    <w:rsid w:val="00C900DE"/>
    <w:rsid w:val="00C92622"/>
    <w:rsid w:val="00C97228"/>
    <w:rsid w:val="00C9780D"/>
    <w:rsid w:val="00CA02DA"/>
    <w:rsid w:val="00CA1A54"/>
    <w:rsid w:val="00CA1CB3"/>
    <w:rsid w:val="00CA655A"/>
    <w:rsid w:val="00CB5299"/>
    <w:rsid w:val="00CC0F8C"/>
    <w:rsid w:val="00CC46B2"/>
    <w:rsid w:val="00CC5718"/>
    <w:rsid w:val="00CD1352"/>
    <w:rsid w:val="00CD1CBE"/>
    <w:rsid w:val="00CD1E3E"/>
    <w:rsid w:val="00CD2EDC"/>
    <w:rsid w:val="00CD32E2"/>
    <w:rsid w:val="00CD4B0B"/>
    <w:rsid w:val="00CD6698"/>
    <w:rsid w:val="00CE1E5B"/>
    <w:rsid w:val="00CE354E"/>
    <w:rsid w:val="00CF1D3D"/>
    <w:rsid w:val="00CF1D92"/>
    <w:rsid w:val="00CF2D92"/>
    <w:rsid w:val="00CF46C3"/>
    <w:rsid w:val="00CF5D91"/>
    <w:rsid w:val="00CF66C7"/>
    <w:rsid w:val="00D0025C"/>
    <w:rsid w:val="00D004FB"/>
    <w:rsid w:val="00D02BBC"/>
    <w:rsid w:val="00D02C36"/>
    <w:rsid w:val="00D02EE8"/>
    <w:rsid w:val="00D04D38"/>
    <w:rsid w:val="00D07D83"/>
    <w:rsid w:val="00D07E7E"/>
    <w:rsid w:val="00D11BA4"/>
    <w:rsid w:val="00D12172"/>
    <w:rsid w:val="00D12367"/>
    <w:rsid w:val="00D12B8C"/>
    <w:rsid w:val="00D200F6"/>
    <w:rsid w:val="00D21646"/>
    <w:rsid w:val="00D2171F"/>
    <w:rsid w:val="00D36A3A"/>
    <w:rsid w:val="00D454F2"/>
    <w:rsid w:val="00D47CE9"/>
    <w:rsid w:val="00D51DF7"/>
    <w:rsid w:val="00D51EDF"/>
    <w:rsid w:val="00D52995"/>
    <w:rsid w:val="00D57988"/>
    <w:rsid w:val="00D60425"/>
    <w:rsid w:val="00D626FF"/>
    <w:rsid w:val="00D63331"/>
    <w:rsid w:val="00D72ADE"/>
    <w:rsid w:val="00D748BF"/>
    <w:rsid w:val="00D75233"/>
    <w:rsid w:val="00D75463"/>
    <w:rsid w:val="00D7728F"/>
    <w:rsid w:val="00D77696"/>
    <w:rsid w:val="00D812F9"/>
    <w:rsid w:val="00D81CC4"/>
    <w:rsid w:val="00D82154"/>
    <w:rsid w:val="00D90681"/>
    <w:rsid w:val="00D9765E"/>
    <w:rsid w:val="00DA1096"/>
    <w:rsid w:val="00DA1473"/>
    <w:rsid w:val="00DA32D2"/>
    <w:rsid w:val="00DA4591"/>
    <w:rsid w:val="00DA6430"/>
    <w:rsid w:val="00DA681A"/>
    <w:rsid w:val="00DA6B7E"/>
    <w:rsid w:val="00DB63BE"/>
    <w:rsid w:val="00DB63DB"/>
    <w:rsid w:val="00DB7824"/>
    <w:rsid w:val="00DC308E"/>
    <w:rsid w:val="00DC5E0F"/>
    <w:rsid w:val="00DC6C69"/>
    <w:rsid w:val="00DC6C76"/>
    <w:rsid w:val="00DC7F73"/>
    <w:rsid w:val="00DE13C2"/>
    <w:rsid w:val="00DE191A"/>
    <w:rsid w:val="00DE1A0F"/>
    <w:rsid w:val="00DE3123"/>
    <w:rsid w:val="00DE339F"/>
    <w:rsid w:val="00DE65D3"/>
    <w:rsid w:val="00DF1535"/>
    <w:rsid w:val="00DF22F2"/>
    <w:rsid w:val="00DF53F5"/>
    <w:rsid w:val="00DF61FD"/>
    <w:rsid w:val="00DF6226"/>
    <w:rsid w:val="00DF6D25"/>
    <w:rsid w:val="00E00FE3"/>
    <w:rsid w:val="00E03C6D"/>
    <w:rsid w:val="00E11A66"/>
    <w:rsid w:val="00E11EE3"/>
    <w:rsid w:val="00E12F1D"/>
    <w:rsid w:val="00E12FA2"/>
    <w:rsid w:val="00E135F9"/>
    <w:rsid w:val="00E14349"/>
    <w:rsid w:val="00E16230"/>
    <w:rsid w:val="00E20C28"/>
    <w:rsid w:val="00E22A77"/>
    <w:rsid w:val="00E22E84"/>
    <w:rsid w:val="00E24B18"/>
    <w:rsid w:val="00E3016C"/>
    <w:rsid w:val="00E33FCE"/>
    <w:rsid w:val="00E348BC"/>
    <w:rsid w:val="00E35B8D"/>
    <w:rsid w:val="00E42E63"/>
    <w:rsid w:val="00E4307D"/>
    <w:rsid w:val="00E4318F"/>
    <w:rsid w:val="00E4392E"/>
    <w:rsid w:val="00E50B9E"/>
    <w:rsid w:val="00E54395"/>
    <w:rsid w:val="00E54741"/>
    <w:rsid w:val="00E568E5"/>
    <w:rsid w:val="00E57AAD"/>
    <w:rsid w:val="00E6453F"/>
    <w:rsid w:val="00E659EF"/>
    <w:rsid w:val="00E677A6"/>
    <w:rsid w:val="00E70CBD"/>
    <w:rsid w:val="00E717E8"/>
    <w:rsid w:val="00E72BAF"/>
    <w:rsid w:val="00E7364A"/>
    <w:rsid w:val="00E73D81"/>
    <w:rsid w:val="00E754F4"/>
    <w:rsid w:val="00E75E3E"/>
    <w:rsid w:val="00E80023"/>
    <w:rsid w:val="00E865D1"/>
    <w:rsid w:val="00E92A42"/>
    <w:rsid w:val="00EA057C"/>
    <w:rsid w:val="00EA2D3D"/>
    <w:rsid w:val="00EA350F"/>
    <w:rsid w:val="00EA5B84"/>
    <w:rsid w:val="00EB20F9"/>
    <w:rsid w:val="00EB24EB"/>
    <w:rsid w:val="00EB34AF"/>
    <w:rsid w:val="00EB4719"/>
    <w:rsid w:val="00EC4235"/>
    <w:rsid w:val="00ED06CC"/>
    <w:rsid w:val="00ED2C8E"/>
    <w:rsid w:val="00ED379E"/>
    <w:rsid w:val="00ED7680"/>
    <w:rsid w:val="00EE0424"/>
    <w:rsid w:val="00EE0D47"/>
    <w:rsid w:val="00EE5358"/>
    <w:rsid w:val="00EF1B6A"/>
    <w:rsid w:val="00EF3C59"/>
    <w:rsid w:val="00EF54D8"/>
    <w:rsid w:val="00EF71E9"/>
    <w:rsid w:val="00F006D2"/>
    <w:rsid w:val="00F00BD1"/>
    <w:rsid w:val="00F01FD9"/>
    <w:rsid w:val="00F0332B"/>
    <w:rsid w:val="00F04B07"/>
    <w:rsid w:val="00F05BA8"/>
    <w:rsid w:val="00F13BBC"/>
    <w:rsid w:val="00F14ED9"/>
    <w:rsid w:val="00F16F13"/>
    <w:rsid w:val="00F20AEA"/>
    <w:rsid w:val="00F219C3"/>
    <w:rsid w:val="00F23E9A"/>
    <w:rsid w:val="00F242D9"/>
    <w:rsid w:val="00F259FE"/>
    <w:rsid w:val="00F27472"/>
    <w:rsid w:val="00F3715D"/>
    <w:rsid w:val="00F37966"/>
    <w:rsid w:val="00F4070D"/>
    <w:rsid w:val="00F440B3"/>
    <w:rsid w:val="00F44B62"/>
    <w:rsid w:val="00F5072C"/>
    <w:rsid w:val="00F51CBF"/>
    <w:rsid w:val="00F526D5"/>
    <w:rsid w:val="00F5411D"/>
    <w:rsid w:val="00F56D2B"/>
    <w:rsid w:val="00F57D2D"/>
    <w:rsid w:val="00F606D8"/>
    <w:rsid w:val="00F62A49"/>
    <w:rsid w:val="00F64F0D"/>
    <w:rsid w:val="00F7026A"/>
    <w:rsid w:val="00F71826"/>
    <w:rsid w:val="00F72B45"/>
    <w:rsid w:val="00F73886"/>
    <w:rsid w:val="00F73B00"/>
    <w:rsid w:val="00F764EE"/>
    <w:rsid w:val="00F80FD8"/>
    <w:rsid w:val="00F84737"/>
    <w:rsid w:val="00F87B69"/>
    <w:rsid w:val="00F90C95"/>
    <w:rsid w:val="00F9103E"/>
    <w:rsid w:val="00F95923"/>
    <w:rsid w:val="00F96A39"/>
    <w:rsid w:val="00F96DB3"/>
    <w:rsid w:val="00F96FF8"/>
    <w:rsid w:val="00F97463"/>
    <w:rsid w:val="00FA1F0D"/>
    <w:rsid w:val="00FA4B50"/>
    <w:rsid w:val="00FA4DC6"/>
    <w:rsid w:val="00FA5D99"/>
    <w:rsid w:val="00FB030E"/>
    <w:rsid w:val="00FB571F"/>
    <w:rsid w:val="00FC42BA"/>
    <w:rsid w:val="00FC4CC7"/>
    <w:rsid w:val="00FC6166"/>
    <w:rsid w:val="00FC77BB"/>
    <w:rsid w:val="00FD08C1"/>
    <w:rsid w:val="00FD217E"/>
    <w:rsid w:val="00FD26F0"/>
    <w:rsid w:val="00FD2C54"/>
    <w:rsid w:val="00FD66E1"/>
    <w:rsid w:val="00FD7A7A"/>
    <w:rsid w:val="00FE10C1"/>
    <w:rsid w:val="00FE190E"/>
    <w:rsid w:val="00FE20A9"/>
    <w:rsid w:val="00FE48A9"/>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qFormat/>
    <w:rsid w:val="009C4845"/>
    <w:pPr>
      <w:keepNext/>
      <w:keepLines/>
      <w:pageBreakBefore/>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iPriority w:val="35"/>
    <w:unhideWhenUsed/>
    <w:qFormat/>
    <w:rsid w:val="00B809CE"/>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uiPriority w:val="35"/>
    <w:locked/>
    <w:rsid w:val="00B809CE"/>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E42E63"/>
    <w:pPr>
      <w:keepNext/>
      <w:keepLines/>
      <w:adjustRightInd w:val="0"/>
      <w:spacing w:before="40" w:after="40" w:line="240" w:lineRule="auto"/>
    </w:pPr>
    <w:rPr>
      <w:rFonts w:eastAsia="Times New Roman" w:cs="Times New Roman"/>
      <w:szCs w:val="22"/>
      <w:lang w:val="x-none" w:eastAsia="x-none"/>
    </w:rPr>
  </w:style>
  <w:style w:type="character" w:customStyle="1" w:styleId="EndnoteTextChar">
    <w:name w:val="Endnote Text Char"/>
    <w:basedOn w:val="DefaultParagraphFont"/>
    <w:link w:val="EndnoteText"/>
    <w:rsid w:val="00E42E63"/>
    <w:rPr>
      <w:rFonts w:ascii="Calibri Light" w:eastAsia="Times New Roman" w:hAnsi="Calibri Light" w:cs="Times New Roman"/>
      <w:sz w:val="22"/>
      <w:szCs w:val="22"/>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F4070D"/>
    <w:pPr>
      <w:spacing w:before="20" w:after="20"/>
    </w:pPr>
  </w:style>
  <w:style w:type="character" w:customStyle="1" w:styleId="eTRMFootnoteTextChar">
    <w:name w:val="eTRM Footnote Text Char"/>
    <w:basedOn w:val="FootnoteTextChar"/>
    <w:link w:val="eTRMFootnoteText"/>
    <w:rsid w:val="00F4070D"/>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5304BF"/>
    <w:pPr>
      <w:autoSpaceDE w:val="0"/>
      <w:autoSpaceDN w:val="0"/>
      <w:adjustRightInd w:val="0"/>
    </w:pPr>
    <w:rPr>
      <w:rFonts w:ascii="DIN" w:eastAsia="Times New Roman" w:hAnsi="DIN" w:cs="DIN"/>
      <w:color w:val="000000"/>
    </w:rPr>
  </w:style>
  <w:style w:type="paragraph" w:customStyle="1" w:styleId="Pa4">
    <w:name w:val="Pa4"/>
    <w:basedOn w:val="Default"/>
    <w:next w:val="Default"/>
    <w:uiPriority w:val="99"/>
    <w:rsid w:val="005304BF"/>
    <w:pPr>
      <w:spacing w:line="201" w:lineRule="atLeast"/>
    </w:pPr>
    <w:rPr>
      <w:rFonts w:cs="Times New Roman"/>
      <w:color w:val="auto"/>
    </w:rPr>
  </w:style>
  <w:style w:type="character" w:styleId="UnresolvedMention">
    <w:name w:val="Unresolved Mention"/>
    <w:basedOn w:val="DefaultParagraphFont"/>
    <w:uiPriority w:val="99"/>
    <w:rsid w:val="009511FA"/>
    <w:rPr>
      <w:color w:val="605E5C"/>
      <w:shd w:val="clear" w:color="auto" w:fill="E1DFDD"/>
    </w:rPr>
  </w:style>
  <w:style w:type="character" w:styleId="Strong">
    <w:name w:val="Strong"/>
    <w:qFormat/>
    <w:rsid w:val="00D748BF"/>
    <w:rPr>
      <w:rFonts w:ascii="Arial" w:hAnsi="Arial"/>
      <w:b/>
      <w:bCs/>
      <w:sz w:val="22"/>
    </w:rPr>
  </w:style>
  <w:style w:type="character" w:customStyle="1" w:styleId="TitleChar">
    <w:name w:val="Title Char"/>
    <w:locked/>
    <w:rsid w:val="00D748BF"/>
    <w:rPr>
      <w:rFonts w:ascii="Arial" w:hAnsi="Arial"/>
      <w:b/>
      <w:color w:val="17365D"/>
      <w:spacing w:val="5"/>
      <w:kern w:val="28"/>
      <w:sz w:val="48"/>
      <w:szCs w:val="52"/>
      <w:lang w:eastAsia="ko-KR"/>
    </w:rPr>
  </w:style>
  <w:style w:type="table" w:customStyle="1" w:styleId="Style2">
    <w:name w:val="Style2"/>
    <w:basedOn w:val="TableList6"/>
    <w:uiPriority w:val="99"/>
    <w:qFormat/>
    <w:rsid w:val="00C7646E"/>
    <w:pPr>
      <w:spacing w:before="0" w:after="0" w:line="240" w:lineRule="auto"/>
    </w:pPr>
    <w:rPr>
      <w:rFonts w:ascii="Times New Roman" w:eastAsia="Times New Roman" w:hAnsi="Times New Roman"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uiPriority w:val="99"/>
    <w:semiHidden/>
    <w:unhideWhenUsed/>
    <w:rsid w:val="00C7646E"/>
    <w:pPr>
      <w:spacing w:before="120" w:after="120" w:line="22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Reminders">
    <w:name w:val="Reminders"/>
    <w:basedOn w:val="Normal"/>
    <w:link w:val="RemindersChar"/>
    <w:rsid w:val="005474B0"/>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5474B0"/>
    <w:rPr>
      <w:rFonts w:ascii="Trebuchet MS" w:eastAsia="Times New Roman" w:hAnsi="Trebuchet MS" w:cs="Times New Roman"/>
      <w:i/>
      <w:color w:val="FF0000"/>
      <w:sz w:val="22"/>
    </w:rPr>
  </w:style>
  <w:style w:type="table" w:customStyle="1" w:styleId="TableGrid1">
    <w:name w:val="Table Grid1"/>
    <w:basedOn w:val="TableNormal"/>
    <w:next w:val="TableGrid"/>
    <w:rsid w:val="00CE354E"/>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61AFB"/>
    <w:rPr>
      <w:rFonts w:eastAsiaTheme="minorHAnsi"/>
      <w:sz w:val="22"/>
      <w:szCs w:val="22"/>
    </w:rPr>
  </w:style>
  <w:style w:type="character" w:styleId="Emphasis">
    <w:name w:val="Emphasis"/>
    <w:basedOn w:val="DefaultParagraphFont"/>
    <w:uiPriority w:val="20"/>
    <w:qFormat/>
    <w:rsid w:val="00915F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8132">
      <w:bodyDiv w:val="1"/>
      <w:marLeft w:val="0"/>
      <w:marRight w:val="0"/>
      <w:marTop w:val="0"/>
      <w:marBottom w:val="0"/>
      <w:divBdr>
        <w:top w:val="none" w:sz="0" w:space="0" w:color="auto"/>
        <w:left w:val="none" w:sz="0" w:space="0" w:color="auto"/>
        <w:bottom w:val="none" w:sz="0" w:space="0" w:color="auto"/>
        <w:right w:val="none" w:sz="0" w:space="0" w:color="auto"/>
      </w:divBdr>
    </w:div>
    <w:div w:id="80022727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8761868">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tmp"/><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energyplus.net/" TargetMode="External"/><Relationship Id="rId1" Type="http://schemas.openxmlformats.org/officeDocument/2006/relationships/hyperlink" Target="https://www.openstudio.ne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8C19-878F-4569-9076-BA1D707EF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11</TotalTime>
  <Pages>17</Pages>
  <Words>4336</Words>
  <Characters>24717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28996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Danryd, Anders R</cp:lastModifiedBy>
  <cp:revision>17</cp:revision>
  <cp:lastPrinted>2017-06-29T20:58:00Z</cp:lastPrinted>
  <dcterms:created xsi:type="dcterms:W3CDTF">2021-04-20T18:40:00Z</dcterms:created>
  <dcterms:modified xsi:type="dcterms:W3CDTF">2021-05-17T17:28:00Z</dcterms:modified>
  <cp:category/>
</cp:coreProperties>
</file>